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42E69" w14:textId="77777777" w:rsidR="00FF1CF3" w:rsidRDefault="000E366E" w:rsidP="000E366E">
      <w:pPr>
        <w:jc w:val="center"/>
        <w:rPr>
          <w:b/>
          <w:u w:val="single"/>
        </w:rPr>
      </w:pPr>
      <w:r>
        <w:rPr>
          <w:b/>
          <w:u w:val="single"/>
        </w:rPr>
        <w:t>PROPOSED CHANGES TO FEDERAL TECHNOLOGY TRANSFER LAWS</w:t>
      </w:r>
    </w:p>
    <w:p w14:paraId="5EC4A14E" w14:textId="77777777" w:rsidR="00D707A7" w:rsidRDefault="00D707A7" w:rsidP="00D707A7">
      <w:pPr>
        <w:pStyle w:val="statutory-body-1em"/>
        <w:ind w:left="0" w:firstLine="0"/>
        <w:rPr>
          <w:rFonts w:ascii="Arial" w:hAnsi="Arial" w:cs="Arial"/>
          <w:sz w:val="22"/>
          <w:szCs w:val="22"/>
        </w:rPr>
      </w:pPr>
    </w:p>
    <w:p w14:paraId="7B3E6003" w14:textId="5D0BEB68" w:rsidR="0019239A" w:rsidRDefault="0019239A" w:rsidP="00D707A7">
      <w:pPr>
        <w:pStyle w:val="statutory-body-1em"/>
        <w:ind w:left="0" w:firstLine="0"/>
        <w:rPr>
          <w:rFonts w:ascii="Arial" w:hAnsi="Arial" w:cs="Arial"/>
          <w:sz w:val="22"/>
          <w:szCs w:val="22"/>
        </w:rPr>
      </w:pPr>
      <w:r>
        <w:rPr>
          <w:rFonts w:ascii="Arial" w:hAnsi="Arial" w:cs="Arial"/>
          <w:sz w:val="22"/>
          <w:szCs w:val="22"/>
        </w:rPr>
        <w:t>SUBJECT: RFI Response: Federal Technology Transfer Authorities and Processes</w:t>
      </w:r>
    </w:p>
    <w:p w14:paraId="386D1FE7" w14:textId="77777777" w:rsidR="00D707A7" w:rsidRDefault="00D707A7" w:rsidP="00D707A7">
      <w:pPr>
        <w:pStyle w:val="statutory-body-1em"/>
        <w:ind w:left="0" w:firstLine="0"/>
        <w:rPr>
          <w:rFonts w:ascii="Arial" w:hAnsi="Arial" w:cs="Arial"/>
          <w:sz w:val="22"/>
          <w:szCs w:val="22"/>
        </w:rPr>
      </w:pPr>
    </w:p>
    <w:p w14:paraId="4D6DB057" w14:textId="193FD541" w:rsidR="00D707A7" w:rsidRDefault="00D707A7" w:rsidP="007939C0">
      <w:pPr>
        <w:pStyle w:val="statutory-body-1em"/>
        <w:numPr>
          <w:ilvl w:val="0"/>
          <w:numId w:val="9"/>
        </w:numPr>
        <w:rPr>
          <w:rFonts w:ascii="Arial" w:hAnsi="Arial" w:cs="Arial"/>
          <w:sz w:val="22"/>
          <w:szCs w:val="22"/>
        </w:rPr>
      </w:pPr>
      <w:r w:rsidRPr="007939C0">
        <w:rPr>
          <w:rFonts w:ascii="Arial" w:hAnsi="Arial" w:cs="Arial"/>
          <w:sz w:val="22"/>
          <w:szCs w:val="22"/>
        </w:rPr>
        <w:t>Add</w:t>
      </w:r>
      <w:r>
        <w:rPr>
          <w:rFonts w:ascii="Arial" w:hAnsi="Arial" w:cs="Arial"/>
          <w:sz w:val="22"/>
          <w:szCs w:val="22"/>
        </w:rPr>
        <w:t xml:space="preserve"> a new 15 USC </w:t>
      </w:r>
      <w:proofErr w:type="gramStart"/>
      <w:r>
        <w:rPr>
          <w:rFonts w:ascii="Arial" w:hAnsi="Arial" w:cs="Arial"/>
          <w:sz w:val="22"/>
          <w:szCs w:val="22"/>
        </w:rPr>
        <w:t>3710a(</w:t>
      </w:r>
      <w:proofErr w:type="gramEnd"/>
      <w:r>
        <w:rPr>
          <w:rFonts w:ascii="Arial" w:hAnsi="Arial" w:cs="Arial"/>
          <w:sz w:val="22"/>
          <w:szCs w:val="22"/>
        </w:rPr>
        <w:t>3) that reads: “(3) that authority may be further delegated.”</w:t>
      </w:r>
    </w:p>
    <w:p w14:paraId="0412E821" w14:textId="77777777" w:rsidR="00D707A7" w:rsidRDefault="00D707A7" w:rsidP="00D707A7">
      <w:pPr>
        <w:pStyle w:val="statutory-body-1em"/>
        <w:ind w:left="0" w:firstLine="0"/>
        <w:rPr>
          <w:rFonts w:ascii="Arial" w:hAnsi="Arial" w:cs="Arial"/>
          <w:sz w:val="22"/>
          <w:szCs w:val="22"/>
        </w:rPr>
      </w:pPr>
    </w:p>
    <w:p w14:paraId="645FEA64" w14:textId="77777777" w:rsidR="00D707A7" w:rsidRDefault="00D707A7" w:rsidP="00D707A7">
      <w:pPr>
        <w:pStyle w:val="statutory-body-1em"/>
        <w:ind w:left="0" w:firstLine="0"/>
        <w:rPr>
          <w:rFonts w:ascii="Arial" w:hAnsi="Arial" w:cs="Arial"/>
          <w:sz w:val="22"/>
          <w:szCs w:val="22"/>
        </w:rPr>
      </w:pPr>
      <w:r>
        <w:rPr>
          <w:rFonts w:ascii="Arial" w:hAnsi="Arial" w:cs="Arial"/>
          <w:sz w:val="22"/>
          <w:szCs w:val="22"/>
        </w:rPr>
        <w:t xml:space="preserve">Rationale: </w:t>
      </w:r>
      <w:r w:rsidR="00BA5839">
        <w:rPr>
          <w:rFonts w:ascii="Arial" w:hAnsi="Arial" w:cs="Arial"/>
          <w:sz w:val="22"/>
          <w:szCs w:val="22"/>
        </w:rPr>
        <w:t xml:space="preserve">Efficiency and Effectiveness. </w:t>
      </w:r>
      <w:r>
        <w:rPr>
          <w:rFonts w:ascii="Arial" w:hAnsi="Arial" w:cs="Arial"/>
          <w:sz w:val="22"/>
          <w:szCs w:val="22"/>
        </w:rPr>
        <w:t xml:space="preserve">The reality at federal laboratories is that the director is often away on business, and his/her Chiefs of Research, and/or Department or </w:t>
      </w:r>
      <w:r w:rsidR="00BA5839">
        <w:rPr>
          <w:rFonts w:ascii="Arial" w:hAnsi="Arial" w:cs="Arial"/>
          <w:sz w:val="22"/>
          <w:szCs w:val="22"/>
        </w:rPr>
        <w:t xml:space="preserve">Division heads are </w:t>
      </w:r>
      <w:r>
        <w:rPr>
          <w:rFonts w:ascii="Arial" w:hAnsi="Arial" w:cs="Arial"/>
          <w:sz w:val="22"/>
          <w:szCs w:val="22"/>
        </w:rPr>
        <w:t xml:space="preserve">in a better position to determine the appropriateness of any particular CRADA proposal. The Department of Defense T2 Directive and </w:t>
      </w:r>
      <w:r w:rsidR="00893C71">
        <w:rPr>
          <w:rFonts w:ascii="Arial" w:hAnsi="Arial" w:cs="Arial"/>
          <w:sz w:val="22"/>
          <w:szCs w:val="22"/>
        </w:rPr>
        <w:t xml:space="preserve">some </w:t>
      </w:r>
      <w:r>
        <w:rPr>
          <w:rFonts w:ascii="Arial" w:hAnsi="Arial" w:cs="Arial"/>
          <w:sz w:val="22"/>
          <w:szCs w:val="22"/>
        </w:rPr>
        <w:t>other agencies already allow for</w:t>
      </w:r>
      <w:r w:rsidR="00893C71">
        <w:rPr>
          <w:rFonts w:ascii="Arial" w:hAnsi="Arial" w:cs="Arial"/>
          <w:sz w:val="22"/>
          <w:szCs w:val="22"/>
        </w:rPr>
        <w:t xml:space="preserve"> this delegation of authority. </w:t>
      </w:r>
    </w:p>
    <w:p w14:paraId="4EAFE534" w14:textId="77777777" w:rsidR="00E25DD3" w:rsidRDefault="00E25DD3" w:rsidP="00D707A7">
      <w:pPr>
        <w:pStyle w:val="statutory-body-1em"/>
        <w:ind w:left="0" w:firstLine="0"/>
        <w:rPr>
          <w:rFonts w:ascii="Arial" w:hAnsi="Arial" w:cs="Arial"/>
          <w:sz w:val="22"/>
          <w:szCs w:val="22"/>
        </w:rPr>
      </w:pPr>
    </w:p>
    <w:p w14:paraId="28B71174" w14:textId="3AE99407" w:rsidR="007939C0" w:rsidRDefault="00E25DD3" w:rsidP="007939C0">
      <w:pPr>
        <w:pStyle w:val="statutory-body-1em"/>
        <w:numPr>
          <w:ilvl w:val="0"/>
          <w:numId w:val="9"/>
        </w:numPr>
        <w:rPr>
          <w:rFonts w:ascii="Arial" w:hAnsi="Arial" w:cs="Arial"/>
          <w:sz w:val="22"/>
          <w:szCs w:val="22"/>
        </w:rPr>
      </w:pPr>
      <w:r w:rsidRPr="007939C0">
        <w:rPr>
          <w:rFonts w:ascii="Arial" w:hAnsi="Arial" w:cs="Arial"/>
          <w:sz w:val="22"/>
          <w:szCs w:val="22"/>
        </w:rPr>
        <w:t xml:space="preserve">Modify </w:t>
      </w:r>
      <w:r>
        <w:rPr>
          <w:rFonts w:ascii="Arial" w:hAnsi="Arial" w:cs="Arial"/>
          <w:sz w:val="22"/>
          <w:szCs w:val="22"/>
        </w:rPr>
        <w:t xml:space="preserve">the second sentence of 15 USC 3710a(b)(1) to read: </w:t>
      </w:r>
    </w:p>
    <w:p w14:paraId="7BD62FB2" w14:textId="77777777" w:rsidR="007939C0" w:rsidRDefault="007939C0" w:rsidP="007939C0">
      <w:pPr>
        <w:pStyle w:val="statutory-body-1em"/>
        <w:ind w:left="670" w:firstLine="0"/>
        <w:rPr>
          <w:rFonts w:ascii="Arial" w:hAnsi="Arial" w:cs="Arial"/>
          <w:sz w:val="22"/>
          <w:szCs w:val="22"/>
        </w:rPr>
      </w:pPr>
    </w:p>
    <w:p w14:paraId="4CF8E4CA" w14:textId="1225458B" w:rsidR="00E25DD3" w:rsidRDefault="00E25DD3" w:rsidP="007939C0">
      <w:pPr>
        <w:pStyle w:val="statutory-body-1em"/>
        <w:ind w:left="670" w:firstLine="0"/>
        <w:rPr>
          <w:rFonts w:ascii="Arial" w:hAnsi="Arial" w:cs="Arial"/>
          <w:sz w:val="22"/>
          <w:szCs w:val="22"/>
        </w:rPr>
      </w:pPr>
      <w:r>
        <w:rPr>
          <w:rFonts w:ascii="Arial" w:hAnsi="Arial" w:cs="Arial"/>
          <w:sz w:val="22"/>
          <w:szCs w:val="22"/>
        </w:rPr>
        <w:t xml:space="preserve">“The laboratory shall ensure, through such agreement, that the collaborating party has the option to choose, </w:t>
      </w:r>
      <w:r w:rsidRPr="00AC080E">
        <w:rPr>
          <w:rFonts w:ascii="Arial" w:hAnsi="Arial" w:cs="Arial"/>
          <w:sz w:val="22"/>
          <w:szCs w:val="22"/>
          <w:u w:val="single"/>
        </w:rPr>
        <w:t>at a minimum</w:t>
      </w:r>
      <w:r>
        <w:rPr>
          <w:rFonts w:ascii="Arial" w:hAnsi="Arial" w:cs="Arial"/>
          <w:sz w:val="22"/>
          <w:szCs w:val="22"/>
        </w:rPr>
        <w:t>, an exclusive license for a pre-negotiated field of use for any such invention under the agreement or, if there is more than one collaborating party, that the collaborating parties are offered the option to hold licensing rights that collectively encompass the rights that would be held under such an exclusive license by one party.”</w:t>
      </w:r>
    </w:p>
    <w:p w14:paraId="036DFE9D" w14:textId="77777777" w:rsidR="00694670" w:rsidRDefault="00694670" w:rsidP="00D707A7">
      <w:pPr>
        <w:pStyle w:val="statutory-body-1em"/>
        <w:ind w:left="0" w:firstLine="0"/>
        <w:rPr>
          <w:rFonts w:ascii="Arial" w:hAnsi="Arial" w:cs="Arial"/>
          <w:sz w:val="22"/>
          <w:szCs w:val="22"/>
        </w:rPr>
      </w:pPr>
    </w:p>
    <w:p w14:paraId="2DCD8FB9" w14:textId="77777777" w:rsidR="00694670" w:rsidRDefault="00694670" w:rsidP="00D707A7">
      <w:pPr>
        <w:pStyle w:val="statutory-body-1em"/>
        <w:ind w:left="0" w:firstLine="0"/>
        <w:rPr>
          <w:rFonts w:ascii="Arial" w:hAnsi="Arial" w:cs="Arial"/>
          <w:sz w:val="22"/>
          <w:szCs w:val="22"/>
        </w:rPr>
      </w:pPr>
      <w:r>
        <w:rPr>
          <w:rFonts w:ascii="Arial" w:hAnsi="Arial" w:cs="Arial"/>
          <w:sz w:val="22"/>
          <w:szCs w:val="22"/>
        </w:rPr>
        <w:t xml:space="preserve">Rationale: The modification clears up what was congressional intent in establishing the required option for CRADA collaborators. See attached, “Collaborator License Options to Laboratory Inventions Made under CRADAs,” by Guy M. Miller, Patent Attorney, AMC Legal Center, U.S. Army Research Laboratory, </w:t>
      </w:r>
      <w:proofErr w:type="gramStart"/>
      <w:r>
        <w:rPr>
          <w:rFonts w:ascii="Arial" w:hAnsi="Arial" w:cs="Arial"/>
          <w:sz w:val="22"/>
          <w:szCs w:val="22"/>
        </w:rPr>
        <w:t>Office</w:t>
      </w:r>
      <w:proofErr w:type="gramEnd"/>
      <w:r>
        <w:rPr>
          <w:rFonts w:ascii="Arial" w:hAnsi="Arial" w:cs="Arial"/>
          <w:sz w:val="22"/>
          <w:szCs w:val="22"/>
        </w:rPr>
        <w:t xml:space="preserve"> of the Chief Counsel – Intellectual Property Law Branch. (Used with permission of author).</w:t>
      </w:r>
    </w:p>
    <w:p w14:paraId="511F1091" w14:textId="77777777" w:rsidR="007939C0" w:rsidRDefault="007939C0" w:rsidP="007939C0">
      <w:pPr>
        <w:pStyle w:val="statutory-body-1em"/>
        <w:ind w:left="0" w:firstLine="0"/>
        <w:rPr>
          <w:rFonts w:ascii="Arial" w:hAnsi="Arial" w:cs="Arial"/>
          <w:b/>
          <w:sz w:val="22"/>
          <w:szCs w:val="22"/>
        </w:rPr>
      </w:pPr>
    </w:p>
    <w:p w14:paraId="66EA08CB" w14:textId="77777777" w:rsidR="007939C0" w:rsidRDefault="007939C0" w:rsidP="007939C0">
      <w:pPr>
        <w:pStyle w:val="statutory-body-1em"/>
        <w:ind w:left="0" w:firstLine="0"/>
        <w:rPr>
          <w:rFonts w:ascii="Arial" w:hAnsi="Arial" w:cs="Arial"/>
          <w:sz w:val="22"/>
          <w:szCs w:val="22"/>
        </w:rPr>
      </w:pPr>
      <w:r w:rsidRPr="007939C0">
        <w:rPr>
          <w:rFonts w:ascii="Arial" w:hAnsi="Arial" w:cs="Arial"/>
          <w:sz w:val="22"/>
          <w:szCs w:val="22"/>
        </w:rPr>
        <w:t xml:space="preserve">  </w:t>
      </w:r>
      <w:r>
        <w:rPr>
          <w:rFonts w:ascii="Arial" w:hAnsi="Arial" w:cs="Arial"/>
          <w:sz w:val="22"/>
          <w:szCs w:val="22"/>
        </w:rPr>
        <w:t xml:space="preserve">   3. </w:t>
      </w:r>
      <w:r w:rsidR="00ED2075" w:rsidRPr="007939C0">
        <w:rPr>
          <w:rFonts w:ascii="Arial" w:hAnsi="Arial" w:cs="Arial"/>
          <w:sz w:val="22"/>
          <w:szCs w:val="22"/>
        </w:rPr>
        <w:t>Modif</w:t>
      </w:r>
      <w:r w:rsidR="00ED2075">
        <w:rPr>
          <w:rFonts w:ascii="Arial" w:hAnsi="Arial" w:cs="Arial"/>
          <w:b/>
          <w:sz w:val="22"/>
          <w:szCs w:val="22"/>
        </w:rPr>
        <w:t>y</w:t>
      </w:r>
      <w:r w:rsidR="00ED2075">
        <w:rPr>
          <w:rFonts w:ascii="Arial" w:hAnsi="Arial" w:cs="Arial"/>
          <w:sz w:val="22"/>
          <w:szCs w:val="22"/>
        </w:rPr>
        <w:t xml:space="preserve"> the first sentence of 15 USC </w:t>
      </w:r>
      <w:proofErr w:type="gramStart"/>
      <w:r w:rsidR="00ED2075">
        <w:rPr>
          <w:rFonts w:ascii="Arial" w:hAnsi="Arial" w:cs="Arial"/>
          <w:sz w:val="22"/>
          <w:szCs w:val="22"/>
        </w:rPr>
        <w:t>3710a(</w:t>
      </w:r>
      <w:proofErr w:type="gramEnd"/>
      <w:r w:rsidR="00ED2075">
        <w:rPr>
          <w:rFonts w:ascii="Arial" w:hAnsi="Arial" w:cs="Arial"/>
          <w:sz w:val="22"/>
          <w:szCs w:val="22"/>
        </w:rPr>
        <w:t xml:space="preserve">b)(1)(A) so that it reads: </w:t>
      </w:r>
    </w:p>
    <w:p w14:paraId="77341D75" w14:textId="77777777" w:rsidR="007939C0" w:rsidRDefault="007939C0" w:rsidP="007939C0">
      <w:pPr>
        <w:pStyle w:val="statutory-body-1em"/>
        <w:ind w:left="0" w:firstLine="0"/>
        <w:rPr>
          <w:rFonts w:ascii="Arial" w:hAnsi="Arial" w:cs="Arial"/>
          <w:sz w:val="22"/>
          <w:szCs w:val="22"/>
        </w:rPr>
      </w:pPr>
    </w:p>
    <w:p w14:paraId="66A22288" w14:textId="3B604497" w:rsidR="00ED2075" w:rsidRDefault="00ED2075" w:rsidP="007939C0">
      <w:pPr>
        <w:pStyle w:val="statutory-body-1em"/>
        <w:ind w:left="720" w:firstLine="0"/>
      </w:pPr>
      <w:r>
        <w:rPr>
          <w:rFonts w:ascii="Arial" w:hAnsi="Arial" w:cs="Arial"/>
          <w:sz w:val="22"/>
          <w:szCs w:val="22"/>
        </w:rPr>
        <w:t>“</w:t>
      </w:r>
      <w:r w:rsidR="00E51045">
        <w:t xml:space="preserve">The collaborating party agrees to execute or to have executed and promptly deliver to </w:t>
      </w:r>
      <w:proofErr w:type="gramStart"/>
      <w:r w:rsidR="00E51045">
        <w:t>the</w:t>
      </w:r>
      <w:proofErr w:type="gramEnd"/>
      <w:r w:rsidR="00E51045">
        <w:t xml:space="preserve"> laboratory a nonexclusive, nontransferable, irrevocable, paid-up license to practice the subject invention by or on behalf of the Government wherever rights in the invention have been established or confirmed throughout the world.”</w:t>
      </w:r>
    </w:p>
    <w:p w14:paraId="7513AF51" w14:textId="77777777" w:rsidR="00E51045" w:rsidRDefault="00E51045" w:rsidP="00D707A7">
      <w:pPr>
        <w:pStyle w:val="statutory-body-1em"/>
        <w:ind w:left="0" w:firstLine="0"/>
      </w:pPr>
    </w:p>
    <w:p w14:paraId="0F39B68E" w14:textId="3BB1941B" w:rsidR="00E51045" w:rsidRPr="00ED2075" w:rsidRDefault="00E51045" w:rsidP="00D707A7">
      <w:pPr>
        <w:pStyle w:val="statutory-body-1em"/>
        <w:ind w:left="0" w:firstLine="0"/>
        <w:rPr>
          <w:rFonts w:ascii="Arial" w:hAnsi="Arial" w:cs="Arial"/>
          <w:sz w:val="22"/>
          <w:szCs w:val="22"/>
        </w:rPr>
      </w:pPr>
      <w:r>
        <w:t xml:space="preserve">Rationale: The current language is poorly drafted and confusing. Read literally, it requires the collaborating party </w:t>
      </w:r>
      <w:r w:rsidR="007939C0">
        <w:t>to</w:t>
      </w:r>
      <w:r>
        <w:t xml:space="preserve"> provide the laboratory a nonexclusive, nontransferable, irrevocable, paid-up license to practice the invention throughout the world. However, rarely, if ever, does the collaborating party have the right to grant such world-wide rights, because its patent </w:t>
      </w:r>
      <w:r w:rsidR="00065A6E">
        <w:t>coverage</w:t>
      </w:r>
      <w:r>
        <w:t xml:space="preserve"> does not cover every country. Therefore, the current language would require that the collaborating party </w:t>
      </w:r>
      <w:r w:rsidR="007939C0">
        <w:t xml:space="preserve">to </w:t>
      </w:r>
      <w:r>
        <w:t xml:space="preserve">obtain patent protection in every country in the world in order to </w:t>
      </w:r>
      <w:r w:rsidR="00065A6E">
        <w:t xml:space="preserve">give the Government the right to practice the invention throughout the world. The proposed modification reflects the reality of what is sought. </w:t>
      </w:r>
    </w:p>
    <w:p w14:paraId="341D3071" w14:textId="77777777" w:rsidR="00E05AA5" w:rsidRDefault="00E05AA5" w:rsidP="00E05AA5">
      <w:pPr>
        <w:pStyle w:val="statutory-body-1em"/>
        <w:ind w:left="0" w:firstLine="0"/>
        <w:rPr>
          <w:rFonts w:ascii="Arial" w:hAnsi="Arial" w:cs="Arial"/>
          <w:sz w:val="22"/>
          <w:szCs w:val="22"/>
        </w:rPr>
      </w:pPr>
    </w:p>
    <w:p w14:paraId="5ED82422" w14:textId="77777777" w:rsidR="00E05AA5" w:rsidRDefault="00E05AA5" w:rsidP="00E05AA5">
      <w:pPr>
        <w:pStyle w:val="statutory-body-1em"/>
        <w:ind w:left="0" w:firstLine="0"/>
        <w:rPr>
          <w:rFonts w:ascii="Arial" w:hAnsi="Arial" w:cs="Arial"/>
          <w:sz w:val="22"/>
          <w:szCs w:val="22"/>
        </w:rPr>
      </w:pPr>
    </w:p>
    <w:p w14:paraId="24EF1853" w14:textId="1ABB613C" w:rsidR="00E05AA5" w:rsidRDefault="00450C37" w:rsidP="00E05AA5">
      <w:pPr>
        <w:pStyle w:val="statutory-body-1em"/>
        <w:ind w:left="0" w:firstLine="0"/>
        <w:rPr>
          <w:rFonts w:ascii="Arial" w:hAnsi="Arial" w:cs="Arial"/>
          <w:sz w:val="22"/>
          <w:szCs w:val="22"/>
        </w:rPr>
      </w:pPr>
      <w:r>
        <w:rPr>
          <w:rFonts w:ascii="Arial" w:hAnsi="Arial" w:cs="Arial"/>
          <w:sz w:val="22"/>
          <w:szCs w:val="22"/>
        </w:rPr>
        <w:t xml:space="preserve">      4. </w:t>
      </w:r>
      <w:r w:rsidR="00E05AA5" w:rsidRPr="00450C37">
        <w:rPr>
          <w:rFonts w:ascii="Arial" w:hAnsi="Arial" w:cs="Arial"/>
          <w:sz w:val="22"/>
          <w:szCs w:val="22"/>
        </w:rPr>
        <w:t xml:space="preserve">Delete </w:t>
      </w:r>
      <w:r w:rsidR="00E05AA5">
        <w:rPr>
          <w:rFonts w:ascii="Arial" w:hAnsi="Arial" w:cs="Arial"/>
          <w:sz w:val="22"/>
          <w:szCs w:val="22"/>
        </w:rPr>
        <w:t xml:space="preserve">15 USC </w:t>
      </w:r>
      <w:proofErr w:type="gramStart"/>
      <w:r w:rsidR="00E05AA5">
        <w:rPr>
          <w:rFonts w:ascii="Arial" w:hAnsi="Arial" w:cs="Arial"/>
          <w:sz w:val="22"/>
          <w:szCs w:val="22"/>
        </w:rPr>
        <w:t>3710a(</w:t>
      </w:r>
      <w:proofErr w:type="gramEnd"/>
      <w:r w:rsidR="00E05AA5">
        <w:rPr>
          <w:rFonts w:ascii="Arial" w:hAnsi="Arial" w:cs="Arial"/>
          <w:sz w:val="22"/>
          <w:szCs w:val="22"/>
        </w:rPr>
        <w:t xml:space="preserve">b)(3)(D). This subparagraph allows the federal lab to waive, in whole or in part, any right of ownership the lab may have in any subject invention made by a collaborating party or employee of a collaborating party, subject to the reservation of a Government use license. </w:t>
      </w:r>
    </w:p>
    <w:p w14:paraId="0384F82E" w14:textId="77777777" w:rsidR="00D8476E" w:rsidRDefault="00D8476E" w:rsidP="00E05AA5">
      <w:pPr>
        <w:pStyle w:val="statutory-body-1em"/>
        <w:ind w:left="0" w:firstLine="0"/>
        <w:rPr>
          <w:rFonts w:ascii="Arial" w:hAnsi="Arial" w:cs="Arial"/>
          <w:sz w:val="22"/>
          <w:szCs w:val="22"/>
        </w:rPr>
      </w:pPr>
    </w:p>
    <w:p w14:paraId="514FD910" w14:textId="77777777" w:rsidR="00450C37" w:rsidRDefault="00D8476E" w:rsidP="00E05AA5">
      <w:pPr>
        <w:pStyle w:val="statutory-body-1em"/>
        <w:ind w:left="0" w:firstLine="0"/>
        <w:rPr>
          <w:rFonts w:ascii="Arial" w:hAnsi="Arial" w:cs="Arial"/>
          <w:sz w:val="22"/>
          <w:szCs w:val="22"/>
        </w:rPr>
      </w:pPr>
      <w:r>
        <w:rPr>
          <w:rFonts w:ascii="Arial" w:hAnsi="Arial" w:cs="Arial"/>
          <w:sz w:val="22"/>
          <w:szCs w:val="22"/>
        </w:rPr>
        <w:lastRenderedPageBreak/>
        <w:t xml:space="preserve">Rationale: </w:t>
      </w:r>
      <w:r w:rsidR="00205431">
        <w:rPr>
          <w:rFonts w:ascii="Arial" w:hAnsi="Arial" w:cs="Arial"/>
          <w:sz w:val="22"/>
          <w:szCs w:val="22"/>
        </w:rPr>
        <w:t>This subparagraph is inconsistent with language in subsection 3710a(b)(2), which allows the collaborating party to retain title to any invention made solely by its employee in exchange for “normally” granting the Government a Government use license</w:t>
      </w:r>
      <w:r w:rsidR="00450C37">
        <w:rPr>
          <w:rFonts w:ascii="Arial" w:hAnsi="Arial" w:cs="Arial"/>
          <w:sz w:val="22"/>
          <w:szCs w:val="22"/>
        </w:rPr>
        <w:t xml:space="preserve">. </w:t>
      </w:r>
      <w:r w:rsidR="00FC6E24">
        <w:rPr>
          <w:rFonts w:ascii="Arial" w:hAnsi="Arial" w:cs="Arial"/>
          <w:sz w:val="22"/>
          <w:szCs w:val="22"/>
        </w:rPr>
        <w:t>The better</w:t>
      </w:r>
      <w:r>
        <w:rPr>
          <w:rFonts w:ascii="Arial" w:hAnsi="Arial" w:cs="Arial"/>
          <w:sz w:val="22"/>
          <w:szCs w:val="22"/>
        </w:rPr>
        <w:t xml:space="preserve"> practice is to allow the laboratory the flexibility to determine, in light of the whole proposal, whether </w:t>
      </w:r>
      <w:r w:rsidR="00893C71">
        <w:rPr>
          <w:rFonts w:ascii="Arial" w:hAnsi="Arial" w:cs="Arial"/>
          <w:sz w:val="22"/>
          <w:szCs w:val="22"/>
        </w:rPr>
        <w:t>requir</w:t>
      </w:r>
      <w:r>
        <w:rPr>
          <w:rFonts w:ascii="Arial" w:hAnsi="Arial" w:cs="Arial"/>
          <w:sz w:val="22"/>
          <w:szCs w:val="22"/>
        </w:rPr>
        <w:t>ing a Government use license for any collaborator</w:t>
      </w:r>
      <w:r w:rsidR="00893C71">
        <w:rPr>
          <w:rFonts w:ascii="Arial" w:hAnsi="Arial" w:cs="Arial"/>
          <w:sz w:val="22"/>
          <w:szCs w:val="22"/>
        </w:rPr>
        <w:t>-</w:t>
      </w:r>
      <w:r>
        <w:rPr>
          <w:rFonts w:ascii="Arial" w:hAnsi="Arial" w:cs="Arial"/>
          <w:sz w:val="22"/>
          <w:szCs w:val="22"/>
        </w:rPr>
        <w:t>only invention has any substantive value for the Government. If, prior to the collaboration, the collaborator has already invested significantly in the technology in question (</w:t>
      </w:r>
      <w:r w:rsidR="00893C71">
        <w:rPr>
          <w:rFonts w:ascii="Arial" w:hAnsi="Arial" w:cs="Arial"/>
          <w:sz w:val="22"/>
          <w:szCs w:val="22"/>
        </w:rPr>
        <w:t xml:space="preserve">e.g., </w:t>
      </w:r>
      <w:r>
        <w:rPr>
          <w:rFonts w:ascii="Arial" w:hAnsi="Arial" w:cs="Arial"/>
          <w:sz w:val="22"/>
          <w:szCs w:val="22"/>
        </w:rPr>
        <w:t xml:space="preserve">through </w:t>
      </w:r>
      <w:r w:rsidR="00893C71">
        <w:rPr>
          <w:rFonts w:ascii="Arial" w:hAnsi="Arial" w:cs="Arial"/>
          <w:sz w:val="22"/>
          <w:szCs w:val="22"/>
        </w:rPr>
        <w:t xml:space="preserve">its own </w:t>
      </w:r>
      <w:r>
        <w:rPr>
          <w:rFonts w:ascii="Arial" w:hAnsi="Arial" w:cs="Arial"/>
          <w:sz w:val="22"/>
          <w:szCs w:val="22"/>
        </w:rPr>
        <w:t xml:space="preserve">R&amp;D funds and patenting), and </w:t>
      </w:r>
      <w:r w:rsidR="00A869DA">
        <w:rPr>
          <w:rFonts w:ascii="Arial" w:hAnsi="Arial" w:cs="Arial"/>
          <w:sz w:val="22"/>
          <w:szCs w:val="22"/>
        </w:rPr>
        <w:t>the government lab’s</w:t>
      </w:r>
      <w:r w:rsidR="00FC6E24">
        <w:rPr>
          <w:rFonts w:ascii="Arial" w:hAnsi="Arial" w:cs="Arial"/>
          <w:sz w:val="22"/>
          <w:szCs w:val="22"/>
        </w:rPr>
        <w:t xml:space="preserve"> T2 goal is</w:t>
      </w:r>
      <w:r w:rsidR="00A869DA">
        <w:rPr>
          <w:rFonts w:ascii="Arial" w:hAnsi="Arial" w:cs="Arial"/>
          <w:sz w:val="22"/>
          <w:szCs w:val="22"/>
        </w:rPr>
        <w:t>, in that instance,</w:t>
      </w:r>
      <w:r w:rsidR="00FC6E24">
        <w:rPr>
          <w:rFonts w:ascii="Arial" w:hAnsi="Arial" w:cs="Arial"/>
          <w:sz w:val="22"/>
          <w:szCs w:val="22"/>
        </w:rPr>
        <w:t xml:space="preserve"> </w:t>
      </w:r>
      <w:r w:rsidR="00450C37">
        <w:rPr>
          <w:rFonts w:ascii="Arial" w:hAnsi="Arial" w:cs="Arial"/>
          <w:sz w:val="22"/>
          <w:szCs w:val="22"/>
        </w:rPr>
        <w:t xml:space="preserve">solely </w:t>
      </w:r>
      <w:r w:rsidR="00FC6E24">
        <w:rPr>
          <w:rFonts w:ascii="Arial" w:hAnsi="Arial" w:cs="Arial"/>
          <w:sz w:val="22"/>
          <w:szCs w:val="22"/>
        </w:rPr>
        <w:t>to accelerate the development of private sector technologies so that they will be available sooner for commercial purchase</w:t>
      </w:r>
      <w:r>
        <w:rPr>
          <w:rFonts w:ascii="Arial" w:hAnsi="Arial" w:cs="Arial"/>
          <w:sz w:val="22"/>
          <w:szCs w:val="22"/>
        </w:rPr>
        <w:t xml:space="preserve">, then requiring that the Government </w:t>
      </w:r>
      <w:r w:rsidR="00FC6E24">
        <w:rPr>
          <w:rFonts w:ascii="Arial" w:hAnsi="Arial" w:cs="Arial"/>
          <w:sz w:val="22"/>
          <w:szCs w:val="22"/>
        </w:rPr>
        <w:t xml:space="preserve">to </w:t>
      </w:r>
      <w:r>
        <w:rPr>
          <w:rFonts w:ascii="Arial" w:hAnsi="Arial" w:cs="Arial"/>
          <w:sz w:val="22"/>
          <w:szCs w:val="22"/>
        </w:rPr>
        <w:t xml:space="preserve">maintain a Government Use license only discourages the collaborator from working with the laboratory. </w:t>
      </w:r>
      <w:r w:rsidR="00FC6E24">
        <w:rPr>
          <w:rFonts w:ascii="Arial" w:hAnsi="Arial" w:cs="Arial"/>
          <w:sz w:val="22"/>
          <w:szCs w:val="22"/>
        </w:rPr>
        <w:t xml:space="preserve">This frequently happens in the medical R&amp;D realm, where the collaboration is a clinical trial at a government hospital of the private sector collaborator’s experimental (i.e., not yet approved by FDA) technology (e.g., drug, device, or vaccine). The overarching aim </w:t>
      </w:r>
      <w:r w:rsidR="00112678">
        <w:rPr>
          <w:rFonts w:ascii="Arial" w:hAnsi="Arial" w:cs="Arial"/>
          <w:sz w:val="22"/>
          <w:szCs w:val="22"/>
        </w:rPr>
        <w:t xml:space="preserve">in these collaborations </w:t>
      </w:r>
      <w:r w:rsidR="00FC6E24">
        <w:rPr>
          <w:rFonts w:ascii="Arial" w:hAnsi="Arial" w:cs="Arial"/>
          <w:sz w:val="22"/>
          <w:szCs w:val="22"/>
        </w:rPr>
        <w:t>is to help the collaborator obtain sufficient evidence for the effectiveness of the</w:t>
      </w:r>
      <w:r w:rsidR="00112678">
        <w:rPr>
          <w:rFonts w:ascii="Arial" w:hAnsi="Arial" w:cs="Arial"/>
          <w:sz w:val="22"/>
          <w:szCs w:val="22"/>
        </w:rPr>
        <w:t xml:space="preserve">ir </w:t>
      </w:r>
      <w:r w:rsidR="00FC6E24">
        <w:rPr>
          <w:rFonts w:ascii="Arial" w:hAnsi="Arial" w:cs="Arial"/>
          <w:sz w:val="22"/>
          <w:szCs w:val="22"/>
        </w:rPr>
        <w:t xml:space="preserve">technology for regulatory approval; it is not to obtain IP rights for the federal laboratory to experiment with. </w:t>
      </w:r>
    </w:p>
    <w:p w14:paraId="64CD9DE4" w14:textId="77777777" w:rsidR="00450C37" w:rsidRDefault="00450C37" w:rsidP="00E05AA5">
      <w:pPr>
        <w:pStyle w:val="statutory-body-1em"/>
        <w:ind w:left="0" w:firstLine="0"/>
        <w:rPr>
          <w:rFonts w:ascii="Arial" w:hAnsi="Arial" w:cs="Arial"/>
          <w:sz w:val="22"/>
          <w:szCs w:val="22"/>
        </w:rPr>
      </w:pPr>
    </w:p>
    <w:p w14:paraId="2DA1AB00" w14:textId="0CCA182C" w:rsidR="005C53C5" w:rsidRDefault="00450C37" w:rsidP="00E05AA5">
      <w:pPr>
        <w:pStyle w:val="statutory-body-1em"/>
        <w:ind w:left="0" w:firstLine="0"/>
        <w:rPr>
          <w:rFonts w:ascii="Arial" w:hAnsi="Arial" w:cs="Arial"/>
          <w:sz w:val="22"/>
          <w:szCs w:val="22"/>
        </w:rPr>
      </w:pPr>
      <w:r>
        <w:rPr>
          <w:rFonts w:ascii="Arial" w:hAnsi="Arial" w:cs="Arial"/>
          <w:sz w:val="22"/>
          <w:szCs w:val="22"/>
        </w:rPr>
        <w:t xml:space="preserve">     5. </w:t>
      </w:r>
      <w:r w:rsidR="005A050E" w:rsidRPr="00450C37">
        <w:rPr>
          <w:rFonts w:ascii="Arial" w:hAnsi="Arial" w:cs="Arial"/>
          <w:sz w:val="22"/>
          <w:szCs w:val="22"/>
        </w:rPr>
        <w:t>Delete</w:t>
      </w:r>
      <w:r w:rsidR="005A050E">
        <w:rPr>
          <w:rFonts w:ascii="Arial" w:hAnsi="Arial" w:cs="Arial"/>
          <w:b/>
          <w:sz w:val="22"/>
          <w:szCs w:val="22"/>
        </w:rPr>
        <w:t xml:space="preserve"> </w:t>
      </w:r>
      <w:r w:rsidR="005A050E">
        <w:rPr>
          <w:rFonts w:ascii="Arial" w:hAnsi="Arial" w:cs="Arial"/>
          <w:sz w:val="22"/>
          <w:szCs w:val="22"/>
        </w:rPr>
        <w:t>15 USC 3710a(c</w:t>
      </w:r>
      <w:proofErr w:type="gramStart"/>
      <w:r w:rsidR="005A050E">
        <w:rPr>
          <w:rFonts w:ascii="Arial" w:hAnsi="Arial" w:cs="Arial"/>
          <w:sz w:val="22"/>
          <w:szCs w:val="22"/>
        </w:rPr>
        <w:t>)(</w:t>
      </w:r>
      <w:proofErr w:type="gramEnd"/>
      <w:r w:rsidR="005A050E">
        <w:rPr>
          <w:rFonts w:ascii="Arial" w:hAnsi="Arial" w:cs="Arial"/>
          <w:sz w:val="22"/>
          <w:szCs w:val="22"/>
        </w:rPr>
        <w:t xml:space="preserve">5)(A) and (B). </w:t>
      </w:r>
    </w:p>
    <w:p w14:paraId="2E29EBBA" w14:textId="77777777" w:rsidR="00A869DA" w:rsidRDefault="00A869DA" w:rsidP="00E05AA5">
      <w:pPr>
        <w:pStyle w:val="statutory-body-1em"/>
        <w:ind w:left="0" w:firstLine="0"/>
        <w:rPr>
          <w:rFonts w:ascii="Arial" w:hAnsi="Arial" w:cs="Arial"/>
          <w:sz w:val="22"/>
          <w:szCs w:val="22"/>
        </w:rPr>
      </w:pPr>
    </w:p>
    <w:p w14:paraId="19451869" w14:textId="77777777" w:rsidR="005A050E" w:rsidRDefault="005C53C5" w:rsidP="00E05AA5">
      <w:pPr>
        <w:pStyle w:val="statutory-body-1em"/>
        <w:ind w:left="0" w:firstLine="0"/>
        <w:rPr>
          <w:rFonts w:ascii="Arial" w:hAnsi="Arial" w:cs="Arial"/>
          <w:sz w:val="22"/>
          <w:szCs w:val="22"/>
        </w:rPr>
      </w:pPr>
      <w:r>
        <w:rPr>
          <w:rFonts w:ascii="Arial" w:hAnsi="Arial" w:cs="Arial"/>
          <w:sz w:val="22"/>
          <w:szCs w:val="22"/>
        </w:rPr>
        <w:t xml:space="preserve">Rationale: </w:t>
      </w:r>
      <w:r w:rsidR="006337FB">
        <w:rPr>
          <w:rFonts w:ascii="Arial" w:hAnsi="Arial" w:cs="Arial"/>
          <w:sz w:val="22"/>
          <w:szCs w:val="22"/>
        </w:rPr>
        <w:t>After over 32 years of CRADA practice by the agencies, t</w:t>
      </w:r>
      <w:r w:rsidR="005A050E">
        <w:rPr>
          <w:rFonts w:ascii="Arial" w:hAnsi="Arial" w:cs="Arial"/>
          <w:sz w:val="22"/>
          <w:szCs w:val="22"/>
        </w:rPr>
        <w:t>here is no evidence that permitting the agency heads or their designees 30 days in which to disapprove or require modifications to a proposed CRADA</w:t>
      </w:r>
      <w:r w:rsidR="006337FB">
        <w:rPr>
          <w:rFonts w:ascii="Arial" w:hAnsi="Arial" w:cs="Arial"/>
          <w:sz w:val="22"/>
          <w:szCs w:val="22"/>
        </w:rPr>
        <w:t xml:space="preserve"> provides value to the Government, and only adds an element of risk and uncertainty for non-federal parties when considering a collaboration with the laboratories.  </w:t>
      </w:r>
    </w:p>
    <w:p w14:paraId="0AC645D2" w14:textId="77777777" w:rsidR="00112678" w:rsidRDefault="00112678" w:rsidP="00E05AA5">
      <w:pPr>
        <w:pStyle w:val="statutory-body-1em"/>
        <w:ind w:left="0" w:firstLine="0"/>
        <w:rPr>
          <w:rFonts w:ascii="Arial" w:hAnsi="Arial" w:cs="Arial"/>
          <w:sz w:val="22"/>
          <w:szCs w:val="22"/>
        </w:rPr>
      </w:pPr>
    </w:p>
    <w:p w14:paraId="73713C50" w14:textId="77777777" w:rsidR="00E05AA5" w:rsidRDefault="00E05AA5" w:rsidP="00E05AA5">
      <w:pPr>
        <w:pStyle w:val="statutory-body-1em"/>
        <w:ind w:left="0" w:firstLine="0"/>
        <w:rPr>
          <w:rFonts w:ascii="Arial" w:hAnsi="Arial" w:cs="Arial"/>
          <w:sz w:val="22"/>
          <w:szCs w:val="22"/>
        </w:rPr>
      </w:pPr>
    </w:p>
    <w:p w14:paraId="2C0C4422" w14:textId="77777777" w:rsidR="00450C37" w:rsidRDefault="00450C37" w:rsidP="00E05AA5">
      <w:pPr>
        <w:pStyle w:val="statutory-body-1em"/>
        <w:ind w:left="0" w:firstLine="0"/>
        <w:rPr>
          <w:rFonts w:ascii="Arial" w:hAnsi="Arial" w:cs="Arial"/>
          <w:sz w:val="22"/>
          <w:szCs w:val="22"/>
        </w:rPr>
      </w:pPr>
      <w:r>
        <w:rPr>
          <w:rFonts w:ascii="Arial" w:hAnsi="Arial" w:cs="Arial"/>
          <w:sz w:val="22"/>
          <w:szCs w:val="22"/>
        </w:rPr>
        <w:t xml:space="preserve">     6. </w:t>
      </w:r>
      <w:r w:rsidR="00C54826" w:rsidRPr="00450C37">
        <w:rPr>
          <w:rFonts w:ascii="Arial" w:hAnsi="Arial" w:cs="Arial"/>
          <w:sz w:val="22"/>
          <w:szCs w:val="22"/>
        </w:rPr>
        <w:t>Insert</w:t>
      </w:r>
      <w:r w:rsidR="00C54826">
        <w:rPr>
          <w:rFonts w:ascii="Arial" w:hAnsi="Arial" w:cs="Arial"/>
          <w:b/>
          <w:sz w:val="22"/>
          <w:szCs w:val="22"/>
        </w:rPr>
        <w:t xml:space="preserve"> </w:t>
      </w:r>
      <w:r w:rsidR="00C54826">
        <w:rPr>
          <w:rFonts w:ascii="Arial" w:hAnsi="Arial" w:cs="Arial"/>
          <w:sz w:val="22"/>
          <w:szCs w:val="22"/>
        </w:rPr>
        <w:t>a new 15 USC 3710a(c</w:t>
      </w:r>
      <w:proofErr w:type="gramStart"/>
      <w:r w:rsidR="00C54826">
        <w:rPr>
          <w:rFonts w:ascii="Arial" w:hAnsi="Arial" w:cs="Arial"/>
          <w:sz w:val="22"/>
          <w:szCs w:val="22"/>
        </w:rPr>
        <w:t>)(</w:t>
      </w:r>
      <w:proofErr w:type="gramEnd"/>
      <w:r w:rsidR="00C54826">
        <w:rPr>
          <w:rFonts w:ascii="Arial" w:hAnsi="Arial" w:cs="Arial"/>
          <w:sz w:val="22"/>
          <w:szCs w:val="22"/>
        </w:rPr>
        <w:t xml:space="preserve">3) that reads: </w:t>
      </w:r>
    </w:p>
    <w:p w14:paraId="7971A1F2" w14:textId="77777777" w:rsidR="00450C37" w:rsidRDefault="00450C37" w:rsidP="00E05AA5">
      <w:pPr>
        <w:pStyle w:val="statutory-body-1em"/>
        <w:ind w:left="0" w:firstLine="0"/>
        <w:rPr>
          <w:rFonts w:ascii="Arial" w:hAnsi="Arial" w:cs="Arial"/>
          <w:sz w:val="22"/>
          <w:szCs w:val="22"/>
        </w:rPr>
      </w:pPr>
    </w:p>
    <w:p w14:paraId="5A23BDA6" w14:textId="175EB548" w:rsidR="005C53C5" w:rsidRDefault="00C54826" w:rsidP="00450C37">
      <w:pPr>
        <w:pStyle w:val="statutory-body-1em"/>
        <w:ind w:left="720" w:firstLine="0"/>
        <w:rPr>
          <w:rFonts w:ascii="Arial" w:hAnsi="Arial" w:cs="Arial"/>
          <w:sz w:val="22"/>
          <w:szCs w:val="22"/>
        </w:rPr>
      </w:pPr>
      <w:r>
        <w:rPr>
          <w:rFonts w:ascii="Arial" w:hAnsi="Arial" w:cs="Arial"/>
          <w:sz w:val="22"/>
          <w:szCs w:val="22"/>
        </w:rPr>
        <w:t xml:space="preserve">“(3) </w:t>
      </w:r>
      <w:r w:rsidR="005C53C5">
        <w:rPr>
          <w:rFonts w:ascii="Arial" w:hAnsi="Arial" w:cs="Arial"/>
          <w:sz w:val="22"/>
          <w:szCs w:val="22"/>
        </w:rPr>
        <w:t xml:space="preserve">In accordance with agency conflict of interest rules and export control laws and regulations, </w:t>
      </w:r>
      <w:r>
        <w:rPr>
          <w:rFonts w:ascii="Arial" w:hAnsi="Arial" w:cs="Arial"/>
          <w:sz w:val="22"/>
          <w:szCs w:val="22"/>
        </w:rPr>
        <w:t>Federal laboratories may enter into cooperative research and development agreements with federal contractors, grantees, and other federal award recipients</w:t>
      </w:r>
      <w:r w:rsidR="005C53C5">
        <w:rPr>
          <w:rFonts w:ascii="Arial" w:hAnsi="Arial" w:cs="Arial"/>
          <w:sz w:val="22"/>
          <w:szCs w:val="22"/>
        </w:rPr>
        <w:t xml:space="preserve"> or </w:t>
      </w:r>
      <w:proofErr w:type="spellStart"/>
      <w:r w:rsidR="005C53C5">
        <w:rPr>
          <w:rFonts w:ascii="Arial" w:hAnsi="Arial" w:cs="Arial"/>
          <w:sz w:val="22"/>
          <w:szCs w:val="22"/>
        </w:rPr>
        <w:t>subrecipients</w:t>
      </w:r>
      <w:proofErr w:type="spellEnd"/>
      <w:r w:rsidR="005C53C5">
        <w:rPr>
          <w:rFonts w:ascii="Arial" w:hAnsi="Arial" w:cs="Arial"/>
          <w:sz w:val="22"/>
          <w:szCs w:val="22"/>
        </w:rPr>
        <w:t>, and may accept, retain, and use funds and other resources from such parties</w:t>
      </w:r>
      <w:r w:rsidR="00397E37">
        <w:rPr>
          <w:rFonts w:ascii="Arial" w:hAnsi="Arial" w:cs="Arial"/>
          <w:sz w:val="22"/>
          <w:szCs w:val="22"/>
        </w:rPr>
        <w:t xml:space="preserve"> where the director of the Federal laboratory determines that the technical subject matter of the funding is sufficiently distinct from that of the cooperative research and development agreement</w:t>
      </w:r>
      <w:r w:rsidR="005C53C5">
        <w:rPr>
          <w:rFonts w:ascii="Arial" w:hAnsi="Arial" w:cs="Arial"/>
          <w:sz w:val="22"/>
          <w:szCs w:val="22"/>
        </w:rPr>
        <w:t>.</w:t>
      </w:r>
      <w:r w:rsidR="00397E37">
        <w:rPr>
          <w:rFonts w:ascii="Arial" w:hAnsi="Arial" w:cs="Arial"/>
          <w:sz w:val="22"/>
          <w:szCs w:val="22"/>
        </w:rPr>
        <w:t>”</w:t>
      </w:r>
      <w:r w:rsidR="00C72CA2">
        <w:rPr>
          <w:rFonts w:ascii="Arial" w:hAnsi="Arial" w:cs="Arial"/>
          <w:sz w:val="22"/>
          <w:szCs w:val="22"/>
        </w:rPr>
        <w:t xml:space="preserve"> (Renumber the subparagraphs that follow.)</w:t>
      </w:r>
    </w:p>
    <w:p w14:paraId="282F7B6C" w14:textId="77777777" w:rsidR="005C53C5" w:rsidRDefault="005C53C5" w:rsidP="00E05AA5">
      <w:pPr>
        <w:pStyle w:val="statutory-body-1em"/>
        <w:ind w:left="0" w:firstLine="0"/>
        <w:rPr>
          <w:rFonts w:ascii="Arial" w:hAnsi="Arial" w:cs="Arial"/>
          <w:sz w:val="22"/>
          <w:szCs w:val="22"/>
        </w:rPr>
      </w:pPr>
    </w:p>
    <w:p w14:paraId="409EAA36" w14:textId="77777777" w:rsidR="005C53C5" w:rsidRDefault="005C53C5" w:rsidP="00E05AA5">
      <w:pPr>
        <w:pStyle w:val="statutory-body-1em"/>
        <w:ind w:left="0" w:firstLine="0"/>
        <w:rPr>
          <w:rFonts w:ascii="Arial" w:hAnsi="Arial" w:cs="Arial"/>
          <w:sz w:val="22"/>
          <w:szCs w:val="22"/>
        </w:rPr>
      </w:pPr>
      <w:r>
        <w:rPr>
          <w:rFonts w:ascii="Arial" w:hAnsi="Arial" w:cs="Arial"/>
          <w:sz w:val="22"/>
          <w:szCs w:val="22"/>
        </w:rPr>
        <w:t xml:space="preserve">Rationale: </w:t>
      </w:r>
      <w:r w:rsidR="00501509">
        <w:rPr>
          <w:rFonts w:ascii="Arial" w:hAnsi="Arial" w:cs="Arial"/>
          <w:sz w:val="22"/>
          <w:szCs w:val="22"/>
        </w:rPr>
        <w:t>To clarify congressional intent, a</w:t>
      </w:r>
      <w:r>
        <w:rPr>
          <w:rFonts w:ascii="Arial" w:hAnsi="Arial" w:cs="Arial"/>
          <w:sz w:val="22"/>
          <w:szCs w:val="22"/>
        </w:rPr>
        <w:t xml:space="preserve">s set forth in the FTTA Congressional </w:t>
      </w:r>
      <w:r w:rsidR="00667026">
        <w:rPr>
          <w:rFonts w:ascii="Arial" w:hAnsi="Arial" w:cs="Arial"/>
          <w:sz w:val="22"/>
          <w:szCs w:val="22"/>
        </w:rPr>
        <w:t>record and in the CRADA statute</w:t>
      </w:r>
      <w:r>
        <w:rPr>
          <w:rFonts w:ascii="Arial" w:hAnsi="Arial" w:cs="Arial"/>
          <w:sz w:val="22"/>
          <w:szCs w:val="22"/>
        </w:rPr>
        <w:t xml:space="preserve">, </w:t>
      </w:r>
      <w:r w:rsidR="00501509">
        <w:rPr>
          <w:rFonts w:ascii="Arial" w:hAnsi="Arial" w:cs="Arial"/>
          <w:sz w:val="22"/>
          <w:szCs w:val="22"/>
        </w:rPr>
        <w:t xml:space="preserve">that, </w:t>
      </w:r>
      <w:r w:rsidR="00F00B76">
        <w:rPr>
          <w:rFonts w:ascii="Arial" w:hAnsi="Arial" w:cs="Arial"/>
          <w:sz w:val="22"/>
          <w:szCs w:val="22"/>
        </w:rPr>
        <w:t>in passing the FTTA</w:t>
      </w:r>
      <w:r w:rsidR="00501509">
        <w:rPr>
          <w:rFonts w:ascii="Arial" w:hAnsi="Arial" w:cs="Arial"/>
          <w:sz w:val="22"/>
          <w:szCs w:val="22"/>
        </w:rPr>
        <w:t>,</w:t>
      </w:r>
      <w:r w:rsidR="00F00B76">
        <w:rPr>
          <w:rFonts w:ascii="Arial" w:hAnsi="Arial" w:cs="Arial"/>
          <w:sz w:val="22"/>
          <w:szCs w:val="22"/>
        </w:rPr>
        <w:t xml:space="preserve"> Congress intended to </w:t>
      </w:r>
      <w:r>
        <w:rPr>
          <w:rFonts w:ascii="Arial" w:hAnsi="Arial" w:cs="Arial"/>
          <w:sz w:val="22"/>
          <w:szCs w:val="22"/>
        </w:rPr>
        <w:t>a</w:t>
      </w:r>
      <w:r w:rsidR="00F00B76">
        <w:rPr>
          <w:rFonts w:ascii="Arial" w:hAnsi="Arial" w:cs="Arial"/>
          <w:sz w:val="22"/>
          <w:szCs w:val="22"/>
        </w:rPr>
        <w:t>llow</w:t>
      </w:r>
      <w:r>
        <w:rPr>
          <w:rFonts w:ascii="Arial" w:hAnsi="Arial" w:cs="Arial"/>
          <w:sz w:val="22"/>
          <w:szCs w:val="22"/>
        </w:rPr>
        <w:t xml:space="preserve"> Federal laboratories to collaborate under CRADAs with federal award recipients and </w:t>
      </w:r>
      <w:proofErr w:type="spellStart"/>
      <w:r>
        <w:rPr>
          <w:rFonts w:ascii="Arial" w:hAnsi="Arial" w:cs="Arial"/>
          <w:sz w:val="22"/>
          <w:szCs w:val="22"/>
        </w:rPr>
        <w:t>subrecipients</w:t>
      </w:r>
      <w:proofErr w:type="spellEnd"/>
      <w:r>
        <w:rPr>
          <w:rFonts w:ascii="Arial" w:hAnsi="Arial" w:cs="Arial"/>
          <w:sz w:val="22"/>
          <w:szCs w:val="22"/>
        </w:rPr>
        <w:t xml:space="preserve">, </w:t>
      </w:r>
      <w:r w:rsidR="00667026">
        <w:rPr>
          <w:rFonts w:ascii="Arial" w:hAnsi="Arial" w:cs="Arial"/>
          <w:sz w:val="22"/>
          <w:szCs w:val="22"/>
        </w:rPr>
        <w:t>to include</w:t>
      </w:r>
      <w:r>
        <w:rPr>
          <w:rFonts w:ascii="Arial" w:hAnsi="Arial" w:cs="Arial"/>
          <w:sz w:val="22"/>
          <w:szCs w:val="22"/>
        </w:rPr>
        <w:t xml:space="preserve"> allowing </w:t>
      </w:r>
      <w:r w:rsidR="00667026">
        <w:rPr>
          <w:rFonts w:ascii="Arial" w:hAnsi="Arial" w:cs="Arial"/>
          <w:sz w:val="22"/>
          <w:szCs w:val="22"/>
        </w:rPr>
        <w:t xml:space="preserve">federal </w:t>
      </w:r>
      <w:r w:rsidR="00F00B76">
        <w:rPr>
          <w:rFonts w:ascii="Arial" w:hAnsi="Arial" w:cs="Arial"/>
          <w:sz w:val="22"/>
          <w:szCs w:val="22"/>
        </w:rPr>
        <w:t>award funds to pass from those recipients/</w:t>
      </w:r>
      <w:proofErr w:type="spellStart"/>
      <w:r w:rsidR="00F00B76">
        <w:rPr>
          <w:rFonts w:ascii="Arial" w:hAnsi="Arial" w:cs="Arial"/>
          <w:sz w:val="22"/>
          <w:szCs w:val="22"/>
        </w:rPr>
        <w:t>subrecipients</w:t>
      </w:r>
      <w:proofErr w:type="spellEnd"/>
      <w:r w:rsidR="00F00B76">
        <w:rPr>
          <w:rFonts w:ascii="Arial" w:hAnsi="Arial" w:cs="Arial"/>
          <w:sz w:val="22"/>
          <w:szCs w:val="22"/>
        </w:rPr>
        <w:t xml:space="preserve"> to the laboratories</w:t>
      </w:r>
      <w:r w:rsidR="00A869DA">
        <w:rPr>
          <w:rFonts w:ascii="Arial" w:hAnsi="Arial" w:cs="Arial"/>
          <w:sz w:val="22"/>
          <w:szCs w:val="22"/>
        </w:rPr>
        <w:t>. Many</w:t>
      </w:r>
      <w:r>
        <w:rPr>
          <w:rFonts w:ascii="Arial" w:hAnsi="Arial" w:cs="Arial"/>
          <w:sz w:val="22"/>
          <w:szCs w:val="22"/>
        </w:rPr>
        <w:t xml:space="preserve">, if not most, agencies do not understand this and consider such activities to be </w:t>
      </w:r>
      <w:r w:rsidR="00F00B76">
        <w:rPr>
          <w:rFonts w:ascii="Arial" w:hAnsi="Arial" w:cs="Arial"/>
          <w:sz w:val="22"/>
          <w:szCs w:val="22"/>
        </w:rPr>
        <w:t xml:space="preserve">somehow </w:t>
      </w:r>
      <w:r>
        <w:rPr>
          <w:rFonts w:ascii="Arial" w:hAnsi="Arial" w:cs="Arial"/>
          <w:sz w:val="22"/>
          <w:szCs w:val="22"/>
        </w:rPr>
        <w:t xml:space="preserve">improper or illegal under fiscal laws. </w:t>
      </w:r>
      <w:r w:rsidR="009D3EC4">
        <w:rPr>
          <w:rFonts w:ascii="Arial" w:hAnsi="Arial" w:cs="Arial"/>
          <w:sz w:val="22"/>
          <w:szCs w:val="22"/>
        </w:rPr>
        <w:t xml:space="preserve">I know this misunderstanding exists from having discussed the issue dozens of times with T2 and federal contracting colleagues from throughout the federal sector, and it causes significant impediments to Federal laboratories participation in CRADAs where there is no internal funding to support the laboratories efforts.  </w:t>
      </w:r>
    </w:p>
    <w:p w14:paraId="21F4BA80" w14:textId="77777777" w:rsidR="005C53C5" w:rsidRDefault="005C53C5" w:rsidP="00E05AA5">
      <w:pPr>
        <w:pStyle w:val="statutory-body-1em"/>
        <w:ind w:left="0" w:firstLine="0"/>
        <w:rPr>
          <w:rFonts w:ascii="Arial" w:hAnsi="Arial" w:cs="Arial"/>
          <w:sz w:val="22"/>
          <w:szCs w:val="22"/>
        </w:rPr>
      </w:pPr>
    </w:p>
    <w:p w14:paraId="44A39505" w14:textId="4DCE51EE" w:rsidR="00E05AA5" w:rsidRDefault="00450C37" w:rsidP="00E05AA5">
      <w:pPr>
        <w:pStyle w:val="statutory-body-1em"/>
        <w:ind w:left="0" w:firstLine="0"/>
        <w:rPr>
          <w:rFonts w:ascii="Arial" w:hAnsi="Arial" w:cs="Arial"/>
          <w:sz w:val="22"/>
          <w:szCs w:val="22"/>
        </w:rPr>
      </w:pPr>
      <w:r>
        <w:rPr>
          <w:rFonts w:ascii="Arial" w:hAnsi="Arial" w:cs="Arial"/>
          <w:sz w:val="22"/>
          <w:szCs w:val="22"/>
        </w:rPr>
        <w:t xml:space="preserve">Reference, </w:t>
      </w:r>
      <w:r w:rsidR="005C53C5">
        <w:rPr>
          <w:rFonts w:ascii="Arial" w:hAnsi="Arial" w:cs="Arial"/>
          <w:sz w:val="22"/>
          <w:szCs w:val="22"/>
        </w:rPr>
        <w:t>Senate Report NO. 99-283, April 21, 1986</w:t>
      </w:r>
      <w:r w:rsidR="00667026">
        <w:rPr>
          <w:rFonts w:ascii="Arial" w:hAnsi="Arial" w:cs="Arial"/>
          <w:sz w:val="22"/>
          <w:szCs w:val="22"/>
        </w:rPr>
        <w:t xml:space="preserve">, </w:t>
      </w:r>
      <w:r w:rsidR="00F00B76">
        <w:rPr>
          <w:rFonts w:ascii="Arial" w:hAnsi="Arial" w:cs="Arial"/>
          <w:sz w:val="22"/>
          <w:szCs w:val="22"/>
        </w:rPr>
        <w:t>(which was part of the joint conference committee report on the FTTA</w:t>
      </w:r>
      <w:r w:rsidR="00501509">
        <w:rPr>
          <w:rFonts w:ascii="Arial" w:hAnsi="Arial" w:cs="Arial"/>
          <w:sz w:val="22"/>
          <w:szCs w:val="22"/>
        </w:rPr>
        <w:t>, along with House Report 3773</w:t>
      </w:r>
      <w:r w:rsidR="00F00B76">
        <w:rPr>
          <w:rFonts w:ascii="Arial" w:hAnsi="Arial" w:cs="Arial"/>
          <w:sz w:val="22"/>
          <w:szCs w:val="22"/>
        </w:rPr>
        <w:t xml:space="preserve">) </w:t>
      </w:r>
      <w:r w:rsidR="00667026">
        <w:rPr>
          <w:rFonts w:ascii="Arial" w:hAnsi="Arial" w:cs="Arial"/>
          <w:sz w:val="22"/>
          <w:szCs w:val="22"/>
        </w:rPr>
        <w:t>in explaining the definition of a CRADA (</w:t>
      </w:r>
      <w:r w:rsidR="00F00B76">
        <w:rPr>
          <w:rFonts w:ascii="Arial" w:hAnsi="Arial" w:cs="Arial"/>
          <w:sz w:val="22"/>
          <w:szCs w:val="22"/>
        </w:rPr>
        <w:t>codified</w:t>
      </w:r>
      <w:r w:rsidR="00667026">
        <w:rPr>
          <w:rFonts w:ascii="Arial" w:hAnsi="Arial" w:cs="Arial"/>
          <w:sz w:val="22"/>
          <w:szCs w:val="22"/>
        </w:rPr>
        <w:t xml:space="preserve"> at 15 USC 3710a(d)(1)</w:t>
      </w:r>
      <w:r w:rsidR="00F00B76">
        <w:rPr>
          <w:rFonts w:ascii="Arial" w:hAnsi="Arial" w:cs="Arial"/>
          <w:sz w:val="22"/>
          <w:szCs w:val="22"/>
        </w:rPr>
        <w:t>)</w:t>
      </w:r>
      <w:r w:rsidR="00667026">
        <w:rPr>
          <w:rFonts w:ascii="Arial" w:hAnsi="Arial" w:cs="Arial"/>
          <w:sz w:val="22"/>
          <w:szCs w:val="22"/>
        </w:rPr>
        <w:t xml:space="preserve">, states: “Section 5 defines cooperative agreements (i.e., CRADAs) as those in which the Federal government provides resources, but not funds, </w:t>
      </w:r>
      <w:r w:rsidR="00667026">
        <w:rPr>
          <w:rFonts w:ascii="Arial" w:hAnsi="Arial" w:cs="Arial"/>
          <w:sz w:val="22"/>
          <w:szCs w:val="22"/>
        </w:rPr>
        <w:lastRenderedPageBreak/>
        <w:t xml:space="preserve">along with a collaborating party, toward the conduct of specific research or development which is consistent with the missions of the agency. </w:t>
      </w:r>
      <w:r w:rsidR="00667026">
        <w:rPr>
          <w:rFonts w:ascii="Arial" w:hAnsi="Arial" w:cs="Arial"/>
          <w:i/>
          <w:sz w:val="22"/>
          <w:szCs w:val="22"/>
        </w:rPr>
        <w:t>Nevertheless, this section is not intended to prohibit Federal financial contributions as might be authorized and appropriated by other acts of Congress.</w:t>
      </w:r>
      <w:r w:rsidR="00667026">
        <w:rPr>
          <w:rFonts w:ascii="Arial" w:hAnsi="Arial" w:cs="Arial"/>
          <w:sz w:val="22"/>
          <w:szCs w:val="22"/>
        </w:rPr>
        <w:t xml:space="preserve"> </w:t>
      </w:r>
      <w:r w:rsidR="00667026">
        <w:rPr>
          <w:rFonts w:ascii="Arial" w:hAnsi="Arial" w:cs="Arial"/>
          <w:i/>
          <w:sz w:val="22"/>
          <w:szCs w:val="22"/>
        </w:rPr>
        <w:t xml:space="preserve">To effectuate cooperative research agreements, the section gives Federal laboratories the authority to accept funds, </w:t>
      </w:r>
      <w:r w:rsidR="00667026">
        <w:rPr>
          <w:rFonts w:ascii="Arial" w:hAnsi="Arial" w:cs="Arial"/>
          <w:sz w:val="22"/>
          <w:szCs w:val="22"/>
        </w:rPr>
        <w:t>services, and property from the collaborating parties; . . .”</w:t>
      </w:r>
      <w:r w:rsidR="00501509">
        <w:rPr>
          <w:rFonts w:ascii="Arial" w:hAnsi="Arial" w:cs="Arial"/>
          <w:sz w:val="22"/>
          <w:szCs w:val="22"/>
        </w:rPr>
        <w:t xml:space="preserve"> </w:t>
      </w:r>
      <w:r w:rsidR="00667026">
        <w:rPr>
          <w:rFonts w:ascii="Arial" w:hAnsi="Arial" w:cs="Arial"/>
          <w:sz w:val="22"/>
          <w:szCs w:val="22"/>
        </w:rPr>
        <w:t>(Emphasis added.)</w:t>
      </w:r>
      <w:r w:rsidR="005C53C5">
        <w:rPr>
          <w:rFonts w:ascii="Arial" w:hAnsi="Arial" w:cs="Arial"/>
          <w:sz w:val="22"/>
          <w:szCs w:val="22"/>
        </w:rPr>
        <w:t xml:space="preserve"> </w:t>
      </w:r>
      <w:r w:rsidR="00C54826">
        <w:rPr>
          <w:rFonts w:ascii="Arial" w:hAnsi="Arial" w:cs="Arial"/>
          <w:sz w:val="22"/>
          <w:szCs w:val="22"/>
        </w:rPr>
        <w:t xml:space="preserve"> </w:t>
      </w:r>
    </w:p>
    <w:p w14:paraId="5298B675" w14:textId="77777777" w:rsidR="00667026" w:rsidRDefault="00667026" w:rsidP="00E05AA5">
      <w:pPr>
        <w:pStyle w:val="statutory-body-1em"/>
        <w:ind w:left="0" w:firstLine="0"/>
        <w:rPr>
          <w:rFonts w:ascii="Arial" w:hAnsi="Arial" w:cs="Arial"/>
          <w:sz w:val="22"/>
          <w:szCs w:val="22"/>
        </w:rPr>
      </w:pPr>
    </w:p>
    <w:p w14:paraId="479C97F2" w14:textId="06B64D2D" w:rsidR="00667026" w:rsidRDefault="00450C37" w:rsidP="00E05AA5">
      <w:pPr>
        <w:pStyle w:val="statutory-body-1em"/>
        <w:ind w:left="0" w:firstLine="0"/>
        <w:rPr>
          <w:rFonts w:ascii="Arial" w:hAnsi="Arial" w:cs="Arial"/>
          <w:sz w:val="22"/>
          <w:szCs w:val="22"/>
        </w:rPr>
      </w:pPr>
      <w:r>
        <w:rPr>
          <w:rFonts w:ascii="Arial" w:hAnsi="Arial" w:cs="Arial"/>
          <w:sz w:val="22"/>
          <w:szCs w:val="22"/>
        </w:rPr>
        <w:t>The</w:t>
      </w:r>
      <w:r w:rsidR="00667026">
        <w:rPr>
          <w:rFonts w:ascii="Arial" w:hAnsi="Arial" w:cs="Arial"/>
          <w:sz w:val="22"/>
          <w:szCs w:val="22"/>
        </w:rPr>
        <w:t xml:space="preserve"> congressional intent </w:t>
      </w:r>
      <w:r w:rsidR="00F00B76">
        <w:rPr>
          <w:rFonts w:ascii="Arial" w:hAnsi="Arial" w:cs="Arial"/>
          <w:sz w:val="22"/>
          <w:szCs w:val="22"/>
        </w:rPr>
        <w:t xml:space="preserve">to allow for “Federal financial contributions as might be authorized and appropriated by other acts of Congress” </w:t>
      </w:r>
      <w:r w:rsidR="00667026">
        <w:rPr>
          <w:rFonts w:ascii="Arial" w:hAnsi="Arial" w:cs="Arial"/>
          <w:sz w:val="22"/>
          <w:szCs w:val="22"/>
        </w:rPr>
        <w:t>was put into the statute</w:t>
      </w:r>
      <w:r w:rsidR="00F00B76">
        <w:rPr>
          <w:rFonts w:ascii="Arial" w:hAnsi="Arial" w:cs="Arial"/>
          <w:sz w:val="22"/>
          <w:szCs w:val="22"/>
        </w:rPr>
        <w:t xml:space="preserve"> at what is now 15 USC 3710a(f), which states: “(f) Relationship to other laws – Nothing in this section is intended to limit or diminish existing authorities of any agency.”</w:t>
      </w:r>
    </w:p>
    <w:p w14:paraId="5B506371" w14:textId="77777777" w:rsidR="00397E37" w:rsidRDefault="00397E37" w:rsidP="00E05AA5">
      <w:pPr>
        <w:pStyle w:val="statutory-body-1em"/>
        <w:ind w:left="0" w:firstLine="0"/>
        <w:rPr>
          <w:rFonts w:ascii="Arial" w:hAnsi="Arial" w:cs="Arial"/>
          <w:sz w:val="22"/>
          <w:szCs w:val="22"/>
        </w:rPr>
      </w:pPr>
    </w:p>
    <w:p w14:paraId="3603C1FD" w14:textId="02B05CD4" w:rsidR="00397E37" w:rsidRDefault="00397E37" w:rsidP="00E05AA5">
      <w:pPr>
        <w:pStyle w:val="statutory-body-1em"/>
        <w:ind w:left="0" w:firstLine="0"/>
        <w:rPr>
          <w:rFonts w:ascii="Arial" w:hAnsi="Arial" w:cs="Arial"/>
          <w:sz w:val="22"/>
          <w:szCs w:val="22"/>
        </w:rPr>
      </w:pPr>
      <w:r>
        <w:rPr>
          <w:rFonts w:ascii="Arial" w:hAnsi="Arial" w:cs="Arial"/>
          <w:sz w:val="22"/>
          <w:szCs w:val="22"/>
        </w:rPr>
        <w:t>Recent Commerce Department regulations also explicitly recognize the legality of federal contractors providing funding to a laboratory under a CRADA. In 15 CFR Part 17, at section 17.3, it reads: “The existence of a funding agreement between a Federal laboratory and a contractor shall not preclude the Federal laboratory from using its authority under 15 U.S.C. 3710a to enter into a CRDA with a contract as a collaborating party for the conduct of specified research or development efforts, where the director of the Federal laboratory determines that the technical subject matter of the funding is sufficiently distinct from that of the CRADA.”</w:t>
      </w:r>
    </w:p>
    <w:p w14:paraId="5D7DF8E7" w14:textId="77777777" w:rsidR="009D3EC4" w:rsidRDefault="009D3EC4" w:rsidP="00E05AA5">
      <w:pPr>
        <w:pStyle w:val="statutory-body-1em"/>
        <w:ind w:left="0" w:firstLine="0"/>
        <w:rPr>
          <w:rFonts w:ascii="Arial" w:hAnsi="Arial" w:cs="Arial"/>
          <w:sz w:val="22"/>
          <w:szCs w:val="22"/>
        </w:rPr>
      </w:pPr>
    </w:p>
    <w:p w14:paraId="44C29587" w14:textId="77777777" w:rsidR="009D3EC4" w:rsidRDefault="00DC4B2E" w:rsidP="00E05AA5">
      <w:pPr>
        <w:pStyle w:val="statutory-body-1em"/>
        <w:ind w:left="0" w:firstLine="0"/>
        <w:rPr>
          <w:rFonts w:ascii="Arial" w:hAnsi="Arial" w:cs="Arial"/>
          <w:sz w:val="22"/>
          <w:szCs w:val="22"/>
        </w:rPr>
      </w:pPr>
      <w:r>
        <w:rPr>
          <w:rFonts w:ascii="Arial" w:hAnsi="Arial" w:cs="Arial"/>
          <w:sz w:val="22"/>
          <w:szCs w:val="22"/>
        </w:rPr>
        <w:t xml:space="preserve">Some Federal agencies recognize congressional intent and </w:t>
      </w:r>
      <w:r w:rsidR="00767DB6">
        <w:rPr>
          <w:rFonts w:ascii="Arial" w:hAnsi="Arial" w:cs="Arial"/>
          <w:sz w:val="22"/>
          <w:szCs w:val="22"/>
        </w:rPr>
        <w:t xml:space="preserve">explicitly </w:t>
      </w:r>
      <w:r>
        <w:rPr>
          <w:rFonts w:ascii="Arial" w:hAnsi="Arial" w:cs="Arial"/>
          <w:sz w:val="22"/>
          <w:szCs w:val="22"/>
        </w:rPr>
        <w:t xml:space="preserve">allow for funds from an agency award recipient to </w:t>
      </w:r>
      <w:r w:rsidR="00767DB6">
        <w:rPr>
          <w:rFonts w:ascii="Arial" w:hAnsi="Arial" w:cs="Arial"/>
          <w:sz w:val="22"/>
          <w:szCs w:val="22"/>
        </w:rPr>
        <w:t xml:space="preserve">pass to be provided to a Federal laboratory under a CRADA. For example, the SBA allows this; see FR/Vol. 70, No. 241, Friday, Dec. 16, 2005/Notices, page 74937, paragraph  9(c)(2)(i)-(iii). </w:t>
      </w:r>
      <w:r w:rsidR="009D3EC4">
        <w:rPr>
          <w:rFonts w:ascii="Arial" w:hAnsi="Arial" w:cs="Arial"/>
          <w:sz w:val="22"/>
          <w:szCs w:val="22"/>
        </w:rPr>
        <w:t xml:space="preserve"> </w:t>
      </w:r>
      <w:r w:rsidR="00767DB6">
        <w:rPr>
          <w:rFonts w:ascii="Arial" w:hAnsi="Arial" w:cs="Arial"/>
          <w:sz w:val="22"/>
          <w:szCs w:val="22"/>
        </w:rPr>
        <w:t xml:space="preserve">See also, the DHHS Grants Policy. </w:t>
      </w:r>
      <w:r w:rsidR="009D3EC4">
        <w:rPr>
          <w:rFonts w:ascii="Arial" w:hAnsi="Arial" w:cs="Arial"/>
          <w:sz w:val="22"/>
          <w:szCs w:val="22"/>
        </w:rPr>
        <w:t xml:space="preserve"> </w:t>
      </w:r>
    </w:p>
    <w:p w14:paraId="77EF2D30" w14:textId="77777777" w:rsidR="00EB22B0" w:rsidRDefault="00EB22B0" w:rsidP="00E05AA5">
      <w:pPr>
        <w:pStyle w:val="statutory-body-1em"/>
        <w:ind w:left="0" w:firstLine="0"/>
        <w:rPr>
          <w:rFonts w:ascii="Arial" w:hAnsi="Arial" w:cs="Arial"/>
          <w:sz w:val="22"/>
          <w:szCs w:val="22"/>
        </w:rPr>
      </w:pPr>
    </w:p>
    <w:p w14:paraId="2DA57FC7" w14:textId="78BF143C" w:rsidR="00EB22B0" w:rsidRDefault="00450C37" w:rsidP="00E05AA5">
      <w:pPr>
        <w:pStyle w:val="statutory-body-1em"/>
        <w:ind w:left="0" w:firstLine="0"/>
        <w:rPr>
          <w:rFonts w:ascii="Arial" w:hAnsi="Arial" w:cs="Arial"/>
          <w:sz w:val="22"/>
          <w:szCs w:val="22"/>
        </w:rPr>
      </w:pPr>
      <w:r>
        <w:rPr>
          <w:rFonts w:ascii="Arial" w:hAnsi="Arial" w:cs="Arial"/>
          <w:sz w:val="22"/>
          <w:szCs w:val="22"/>
        </w:rPr>
        <w:t xml:space="preserve">     7. </w:t>
      </w:r>
      <w:r w:rsidR="00EB22B0" w:rsidRPr="00F061F2">
        <w:rPr>
          <w:rFonts w:ascii="Arial" w:hAnsi="Arial" w:cs="Arial"/>
          <w:sz w:val="22"/>
          <w:szCs w:val="22"/>
        </w:rPr>
        <w:t>Modify</w:t>
      </w:r>
      <w:r w:rsidR="00EB22B0">
        <w:rPr>
          <w:rFonts w:ascii="Arial" w:hAnsi="Arial" w:cs="Arial"/>
          <w:sz w:val="22"/>
          <w:szCs w:val="22"/>
        </w:rPr>
        <w:t xml:space="preserve">15 USC </w:t>
      </w:r>
      <w:proofErr w:type="gramStart"/>
      <w:r w:rsidR="00EB22B0">
        <w:rPr>
          <w:rFonts w:ascii="Arial" w:hAnsi="Arial" w:cs="Arial"/>
          <w:sz w:val="22"/>
          <w:szCs w:val="22"/>
        </w:rPr>
        <w:t>3710c(</w:t>
      </w:r>
      <w:proofErr w:type="gramEnd"/>
      <w:r w:rsidR="00EB22B0">
        <w:rPr>
          <w:rFonts w:ascii="Arial" w:hAnsi="Arial" w:cs="Arial"/>
          <w:sz w:val="22"/>
          <w:szCs w:val="22"/>
        </w:rPr>
        <w:t xml:space="preserve">a)(3) to allow payments to inventors </w:t>
      </w:r>
      <w:r w:rsidR="00F061F2">
        <w:rPr>
          <w:rFonts w:ascii="Arial" w:hAnsi="Arial" w:cs="Arial"/>
          <w:sz w:val="22"/>
          <w:szCs w:val="22"/>
        </w:rPr>
        <w:t>increase</w:t>
      </w:r>
      <w:r w:rsidR="00EB22B0">
        <w:rPr>
          <w:rFonts w:ascii="Arial" w:hAnsi="Arial" w:cs="Arial"/>
          <w:sz w:val="22"/>
          <w:szCs w:val="22"/>
        </w:rPr>
        <w:t xml:space="preserve"> to $350,000 per year to any one person from the current $150,000.</w:t>
      </w:r>
    </w:p>
    <w:p w14:paraId="4123BA27" w14:textId="77777777" w:rsidR="00EB22B0" w:rsidRDefault="00EB22B0" w:rsidP="00E05AA5">
      <w:pPr>
        <w:pStyle w:val="statutory-body-1em"/>
        <w:ind w:left="0" w:firstLine="0"/>
        <w:rPr>
          <w:rFonts w:ascii="Arial" w:hAnsi="Arial" w:cs="Arial"/>
          <w:sz w:val="22"/>
          <w:szCs w:val="22"/>
        </w:rPr>
      </w:pPr>
    </w:p>
    <w:p w14:paraId="12A9413D" w14:textId="0BDEF4FD" w:rsidR="00EB22B0" w:rsidRPr="00EB22B0" w:rsidRDefault="00DF24A0" w:rsidP="00E05AA5">
      <w:pPr>
        <w:pStyle w:val="statutory-body-1em"/>
        <w:ind w:left="0" w:firstLine="0"/>
        <w:rPr>
          <w:rFonts w:ascii="Arial" w:hAnsi="Arial" w:cs="Arial"/>
          <w:sz w:val="22"/>
          <w:szCs w:val="22"/>
        </w:rPr>
      </w:pPr>
      <w:r>
        <w:rPr>
          <w:rFonts w:ascii="Arial" w:hAnsi="Arial" w:cs="Arial"/>
          <w:sz w:val="22"/>
          <w:szCs w:val="22"/>
        </w:rPr>
        <w:t>Rationale: The proposed</w:t>
      </w:r>
      <w:r w:rsidR="00EB22B0">
        <w:rPr>
          <w:rFonts w:ascii="Arial" w:hAnsi="Arial" w:cs="Arial"/>
          <w:sz w:val="22"/>
          <w:szCs w:val="22"/>
        </w:rPr>
        <w:t xml:space="preserve"> change will keep this statutory incentive program up with inflation.  </w:t>
      </w:r>
    </w:p>
    <w:p w14:paraId="02387730" w14:textId="77777777" w:rsidR="00ED27BA" w:rsidRDefault="00ED27BA" w:rsidP="00E05AA5">
      <w:pPr>
        <w:pStyle w:val="statutory-body-1em"/>
        <w:ind w:left="0" w:firstLine="0"/>
        <w:rPr>
          <w:rFonts w:ascii="Arial" w:hAnsi="Arial" w:cs="Arial"/>
          <w:sz w:val="22"/>
          <w:szCs w:val="22"/>
        </w:rPr>
      </w:pPr>
    </w:p>
    <w:p w14:paraId="4B411E7D" w14:textId="77777777" w:rsidR="00ED27BA" w:rsidRDefault="00ED27BA" w:rsidP="00E05AA5">
      <w:pPr>
        <w:pStyle w:val="statutory-body-1em"/>
        <w:ind w:left="0" w:firstLine="0"/>
        <w:rPr>
          <w:rFonts w:ascii="Arial" w:hAnsi="Arial" w:cs="Arial"/>
          <w:sz w:val="22"/>
          <w:szCs w:val="22"/>
        </w:rPr>
      </w:pPr>
    </w:p>
    <w:p w14:paraId="1C3B8824" w14:textId="77777777" w:rsidR="0069352B" w:rsidRDefault="0069352B" w:rsidP="00E05AA5">
      <w:pPr>
        <w:pStyle w:val="statutory-body-1em"/>
        <w:ind w:left="0" w:firstLine="0"/>
        <w:rPr>
          <w:rFonts w:ascii="Arial" w:hAnsi="Arial" w:cs="Arial"/>
          <w:sz w:val="22"/>
          <w:szCs w:val="22"/>
        </w:rPr>
      </w:pPr>
    </w:p>
    <w:p w14:paraId="32E298AF" w14:textId="77777777" w:rsidR="0069352B" w:rsidRDefault="0069352B" w:rsidP="00E05AA5">
      <w:pPr>
        <w:pStyle w:val="statutory-body-1em"/>
        <w:ind w:left="0" w:firstLine="0"/>
        <w:rPr>
          <w:rFonts w:ascii="Arial" w:hAnsi="Arial" w:cs="Arial"/>
          <w:sz w:val="22"/>
          <w:szCs w:val="22"/>
        </w:rPr>
      </w:pPr>
    </w:p>
    <w:p w14:paraId="3A082F9E" w14:textId="77777777" w:rsidR="0069352B" w:rsidRPr="0069352B" w:rsidRDefault="0069352B" w:rsidP="00E05AA5">
      <w:pPr>
        <w:pStyle w:val="statutory-body-1em"/>
        <w:ind w:left="0" w:firstLine="0"/>
        <w:rPr>
          <w:rFonts w:ascii="Arial" w:hAnsi="Arial" w:cs="Arial"/>
          <w:sz w:val="22"/>
          <w:szCs w:val="22"/>
        </w:rPr>
      </w:pPr>
      <w:r>
        <w:rPr>
          <w:rFonts w:ascii="Arial" w:hAnsi="Arial" w:cs="Arial"/>
          <w:sz w:val="22"/>
          <w:szCs w:val="22"/>
        </w:rPr>
        <w:tab/>
      </w:r>
      <w:r w:rsidR="008A10A2">
        <w:rPr>
          <w:rFonts w:ascii="Arial" w:hAnsi="Arial" w:cs="Arial"/>
          <w:sz w:val="22"/>
          <w:szCs w:val="22"/>
        </w:rPr>
        <w:t xml:space="preserve"> </w:t>
      </w:r>
    </w:p>
    <w:p w14:paraId="67178328" w14:textId="77777777" w:rsidR="00501509" w:rsidRDefault="00501509" w:rsidP="00E05AA5">
      <w:pPr>
        <w:pStyle w:val="statutory-body-1em"/>
        <w:ind w:left="0" w:firstLine="0"/>
        <w:rPr>
          <w:rFonts w:ascii="Arial" w:hAnsi="Arial" w:cs="Arial"/>
          <w:sz w:val="22"/>
          <w:szCs w:val="22"/>
        </w:rPr>
      </w:pPr>
    </w:p>
    <w:p w14:paraId="0C0F8FAB" w14:textId="77777777" w:rsidR="00501509" w:rsidRDefault="00501509" w:rsidP="00E05AA5">
      <w:pPr>
        <w:pStyle w:val="statutory-body-1em"/>
        <w:ind w:left="0" w:firstLine="0"/>
        <w:rPr>
          <w:rFonts w:ascii="Arial" w:hAnsi="Arial" w:cs="Arial"/>
          <w:sz w:val="22"/>
          <w:szCs w:val="22"/>
        </w:rPr>
      </w:pPr>
    </w:p>
    <w:p w14:paraId="4C074972" w14:textId="77777777" w:rsidR="00501509" w:rsidRDefault="00501509" w:rsidP="00E05AA5">
      <w:pPr>
        <w:pStyle w:val="statutory-body-1em"/>
        <w:ind w:left="0" w:firstLine="0"/>
        <w:rPr>
          <w:rFonts w:ascii="Arial" w:hAnsi="Arial" w:cs="Arial"/>
          <w:sz w:val="22"/>
          <w:szCs w:val="22"/>
        </w:rPr>
      </w:pPr>
    </w:p>
    <w:p w14:paraId="4E996857" w14:textId="77777777" w:rsidR="00F00B76" w:rsidRDefault="00F00B76" w:rsidP="00E05AA5">
      <w:pPr>
        <w:pStyle w:val="statutory-body-1em"/>
        <w:ind w:left="0" w:firstLine="0"/>
        <w:rPr>
          <w:rFonts w:ascii="Arial" w:hAnsi="Arial" w:cs="Arial"/>
          <w:sz w:val="22"/>
          <w:szCs w:val="22"/>
        </w:rPr>
      </w:pPr>
    </w:p>
    <w:p w14:paraId="6E44A7D8" w14:textId="77777777" w:rsidR="00F00B76" w:rsidRPr="00C54826" w:rsidRDefault="00F00B76" w:rsidP="00E05AA5">
      <w:pPr>
        <w:pStyle w:val="statutory-body-1em"/>
        <w:ind w:left="0" w:firstLine="0"/>
        <w:rPr>
          <w:rFonts w:ascii="Arial" w:hAnsi="Arial" w:cs="Arial"/>
          <w:sz w:val="22"/>
          <w:szCs w:val="22"/>
        </w:rPr>
      </w:pPr>
    </w:p>
    <w:p w14:paraId="5AE80C4B" w14:textId="77777777" w:rsidR="000E366E" w:rsidRPr="000E366E" w:rsidRDefault="000E366E" w:rsidP="00F70C58">
      <w:pPr>
        <w:pStyle w:val="ListParagraph"/>
      </w:pPr>
    </w:p>
    <w:sectPr w:rsidR="000E366E" w:rsidRPr="000E366E" w:rsidSect="00F2022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801B8" w14:textId="77777777" w:rsidR="00567432" w:rsidRDefault="00567432" w:rsidP="00AC080E">
      <w:pPr>
        <w:spacing w:after="0" w:line="240" w:lineRule="auto"/>
      </w:pPr>
      <w:r>
        <w:separator/>
      </w:r>
    </w:p>
  </w:endnote>
  <w:endnote w:type="continuationSeparator" w:id="0">
    <w:p w14:paraId="2F37518A" w14:textId="77777777" w:rsidR="00567432" w:rsidRDefault="00567432" w:rsidP="00AC0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5A2F6" w14:textId="77777777" w:rsidR="00F2022E" w:rsidRDefault="00F202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578093529"/>
      <w:docPartObj>
        <w:docPartGallery w:val="Page Numbers (Bottom of Page)"/>
        <w:docPartUnique/>
      </w:docPartObj>
    </w:sdtPr>
    <w:sdtEndPr>
      <w:rPr>
        <w:noProof/>
      </w:rPr>
    </w:sdtEndPr>
    <w:sdtContent>
      <w:p w14:paraId="0FF09DAA" w14:textId="6FA9D41E" w:rsidR="00F2022E" w:rsidRDefault="00F2022E">
        <w:pPr>
          <w:pStyle w:val="Foot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pg. </w:t>
        </w:r>
        <w:r>
          <w:rPr>
            <w:rFonts w:eastAsiaTheme="minorEastAsia" w:cs="Times New Roman"/>
          </w:rPr>
          <w:fldChar w:fldCharType="begin"/>
        </w:r>
        <w:r>
          <w:instrText xml:space="preserve"> PAGE    \* MERGEFORMAT </w:instrText>
        </w:r>
        <w:r>
          <w:rPr>
            <w:rFonts w:eastAsiaTheme="minorEastAsia" w:cs="Times New Roman"/>
          </w:rPr>
          <w:fldChar w:fldCharType="separate"/>
        </w:r>
        <w:r w:rsidRPr="00F2022E">
          <w:rPr>
            <w:rFonts w:asciiTheme="majorHAnsi" w:eastAsiaTheme="majorEastAsia" w:hAnsiTheme="majorHAnsi" w:cstheme="majorBidi"/>
            <w:noProof/>
            <w:sz w:val="28"/>
            <w:szCs w:val="28"/>
          </w:rPr>
          <w:t>1</w:t>
        </w:r>
        <w:r>
          <w:rPr>
            <w:rFonts w:asciiTheme="majorHAnsi" w:eastAsiaTheme="majorEastAsia" w:hAnsiTheme="majorHAnsi" w:cstheme="majorBidi"/>
            <w:noProof/>
            <w:sz w:val="28"/>
            <w:szCs w:val="28"/>
          </w:rPr>
          <w:fldChar w:fldCharType="end"/>
        </w:r>
      </w:p>
    </w:sdtContent>
  </w:sdt>
  <w:p w14:paraId="55F18BC2" w14:textId="71713984" w:rsidR="00AC080E" w:rsidRPr="00F2022E" w:rsidRDefault="00F2022E">
    <w:pPr>
      <w:pStyle w:val="Footer"/>
      <w:rPr>
        <w:sz w:val="18"/>
        <w:szCs w:val="18"/>
      </w:rPr>
    </w:pPr>
    <w:r>
      <w:rPr>
        <w:sz w:val="18"/>
        <w:szCs w:val="18"/>
      </w:rPr>
      <w:t xml:space="preserve">The opinions set forth are those of the author and not of the U.S. Army Medical Research &amp; Materiel Command, the U.S. Army, the Department of Defense, or the U.S. Government. Robert L. </w:t>
    </w:r>
    <w:r>
      <w:rPr>
        <w:sz w:val="18"/>
        <w:szCs w:val="18"/>
      </w:rPr>
      <w:t xml:space="preserve">Charles, July </w:t>
    </w:r>
    <w:r>
      <w:rPr>
        <w:sz w:val="18"/>
        <w:szCs w:val="18"/>
      </w:rPr>
      <w:t>2018</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6CDC3" w14:textId="77777777" w:rsidR="00F2022E" w:rsidRDefault="00F202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A6048" w14:textId="77777777" w:rsidR="00567432" w:rsidRDefault="00567432" w:rsidP="00AC080E">
      <w:pPr>
        <w:spacing w:after="0" w:line="240" w:lineRule="auto"/>
      </w:pPr>
      <w:r>
        <w:separator/>
      </w:r>
    </w:p>
  </w:footnote>
  <w:footnote w:type="continuationSeparator" w:id="0">
    <w:p w14:paraId="05CC7A11" w14:textId="77777777" w:rsidR="00567432" w:rsidRDefault="00567432" w:rsidP="00AC0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06546" w14:textId="77777777" w:rsidR="00F2022E" w:rsidRDefault="00F202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38C17" w14:textId="00564899" w:rsidR="00F2022E" w:rsidRDefault="00F2022E" w:rsidP="00F2022E">
    <w:pPr>
      <w:pStyle w:val="statutory-body-1em"/>
      <w:ind w:left="0" w:firstLine="0"/>
      <w:rPr>
        <w:rFonts w:ascii="Arial" w:hAnsi="Arial" w:cs="Arial"/>
        <w:sz w:val="22"/>
        <w:szCs w:val="22"/>
      </w:rPr>
    </w:pPr>
  </w:p>
  <w:p w14:paraId="11267274" w14:textId="77777777" w:rsidR="00F2022E" w:rsidRDefault="00F202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B34BB" w14:textId="77777777" w:rsidR="00F2022E" w:rsidRDefault="00F202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17E5C"/>
    <w:multiLevelType w:val="hybridMultilevel"/>
    <w:tmpl w:val="D2546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67DB9"/>
    <w:multiLevelType w:val="hybridMultilevel"/>
    <w:tmpl w:val="40B82156"/>
    <w:lvl w:ilvl="0" w:tplc="6BB4475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C4967"/>
    <w:multiLevelType w:val="hybridMultilevel"/>
    <w:tmpl w:val="DD9C2B94"/>
    <w:lvl w:ilvl="0" w:tplc="BF408D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7E525C"/>
    <w:multiLevelType w:val="hybridMultilevel"/>
    <w:tmpl w:val="79148870"/>
    <w:lvl w:ilvl="0" w:tplc="20280E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8656B5"/>
    <w:multiLevelType w:val="hybridMultilevel"/>
    <w:tmpl w:val="BAE47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E4247E"/>
    <w:multiLevelType w:val="hybridMultilevel"/>
    <w:tmpl w:val="C324E0A4"/>
    <w:lvl w:ilvl="0" w:tplc="4754AEB4">
      <w:start w:val="1"/>
      <w:numFmt w:val="decimal"/>
      <w:lvlText w:val="%1."/>
      <w:lvlJc w:val="left"/>
      <w:pPr>
        <w:ind w:left="670" w:hanging="360"/>
      </w:pPr>
      <w:rPr>
        <w:rFonts w:hint="default"/>
      </w:rPr>
    </w:lvl>
    <w:lvl w:ilvl="1" w:tplc="04090019" w:tentative="1">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abstractNum w:abstractNumId="6" w15:restartNumberingAfterBreak="0">
    <w:nsid w:val="4E8B61E9"/>
    <w:multiLevelType w:val="hybridMultilevel"/>
    <w:tmpl w:val="69184912"/>
    <w:lvl w:ilvl="0" w:tplc="62C6E02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4EF66E90"/>
    <w:multiLevelType w:val="hybridMultilevel"/>
    <w:tmpl w:val="3260F152"/>
    <w:lvl w:ilvl="0" w:tplc="6E0C21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15628B"/>
    <w:multiLevelType w:val="hybridMultilevel"/>
    <w:tmpl w:val="1EF02308"/>
    <w:lvl w:ilvl="0" w:tplc="0F161C9E">
      <w:start w:val="1"/>
      <w:numFmt w:val="decimal"/>
      <w:lvlText w:val="%1."/>
      <w:lvlJc w:val="left"/>
      <w:pPr>
        <w:ind w:left="670" w:hanging="360"/>
      </w:pPr>
      <w:rPr>
        <w:rFonts w:hint="default"/>
      </w:rPr>
    </w:lvl>
    <w:lvl w:ilvl="1" w:tplc="04090019" w:tentative="1">
      <w:start w:val="1"/>
      <w:numFmt w:val="lowerLetter"/>
      <w:lvlText w:val="%2."/>
      <w:lvlJc w:val="left"/>
      <w:pPr>
        <w:ind w:left="1390" w:hanging="360"/>
      </w:pPr>
    </w:lvl>
    <w:lvl w:ilvl="2" w:tplc="0409001B" w:tentative="1">
      <w:start w:val="1"/>
      <w:numFmt w:val="lowerRoman"/>
      <w:lvlText w:val="%3."/>
      <w:lvlJc w:val="right"/>
      <w:pPr>
        <w:ind w:left="2110" w:hanging="180"/>
      </w:pPr>
    </w:lvl>
    <w:lvl w:ilvl="3" w:tplc="0409000F" w:tentative="1">
      <w:start w:val="1"/>
      <w:numFmt w:val="decimal"/>
      <w:lvlText w:val="%4."/>
      <w:lvlJc w:val="left"/>
      <w:pPr>
        <w:ind w:left="2830" w:hanging="360"/>
      </w:pPr>
    </w:lvl>
    <w:lvl w:ilvl="4" w:tplc="04090019" w:tentative="1">
      <w:start w:val="1"/>
      <w:numFmt w:val="lowerLetter"/>
      <w:lvlText w:val="%5."/>
      <w:lvlJc w:val="left"/>
      <w:pPr>
        <w:ind w:left="3550" w:hanging="360"/>
      </w:pPr>
    </w:lvl>
    <w:lvl w:ilvl="5" w:tplc="0409001B" w:tentative="1">
      <w:start w:val="1"/>
      <w:numFmt w:val="lowerRoman"/>
      <w:lvlText w:val="%6."/>
      <w:lvlJc w:val="right"/>
      <w:pPr>
        <w:ind w:left="4270" w:hanging="180"/>
      </w:pPr>
    </w:lvl>
    <w:lvl w:ilvl="6" w:tplc="0409000F" w:tentative="1">
      <w:start w:val="1"/>
      <w:numFmt w:val="decimal"/>
      <w:lvlText w:val="%7."/>
      <w:lvlJc w:val="left"/>
      <w:pPr>
        <w:ind w:left="4990" w:hanging="360"/>
      </w:pPr>
    </w:lvl>
    <w:lvl w:ilvl="7" w:tplc="04090019" w:tentative="1">
      <w:start w:val="1"/>
      <w:numFmt w:val="lowerLetter"/>
      <w:lvlText w:val="%8."/>
      <w:lvlJc w:val="left"/>
      <w:pPr>
        <w:ind w:left="5710" w:hanging="360"/>
      </w:pPr>
    </w:lvl>
    <w:lvl w:ilvl="8" w:tplc="0409001B" w:tentative="1">
      <w:start w:val="1"/>
      <w:numFmt w:val="lowerRoman"/>
      <w:lvlText w:val="%9."/>
      <w:lvlJc w:val="right"/>
      <w:pPr>
        <w:ind w:left="643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66E"/>
    <w:rsid w:val="00002204"/>
    <w:rsid w:val="00053F0A"/>
    <w:rsid w:val="00065A6E"/>
    <w:rsid w:val="000E366E"/>
    <w:rsid w:val="00112678"/>
    <w:rsid w:val="001169E5"/>
    <w:rsid w:val="00136C85"/>
    <w:rsid w:val="0019239A"/>
    <w:rsid w:val="00205431"/>
    <w:rsid w:val="00397E37"/>
    <w:rsid w:val="003C09F9"/>
    <w:rsid w:val="00450C37"/>
    <w:rsid w:val="00501509"/>
    <w:rsid w:val="00567432"/>
    <w:rsid w:val="005A050E"/>
    <w:rsid w:val="005C53C5"/>
    <w:rsid w:val="00611D58"/>
    <w:rsid w:val="006337FB"/>
    <w:rsid w:val="00667026"/>
    <w:rsid w:val="0069352B"/>
    <w:rsid w:val="00694670"/>
    <w:rsid w:val="00694724"/>
    <w:rsid w:val="006A3019"/>
    <w:rsid w:val="00767DB6"/>
    <w:rsid w:val="00784F36"/>
    <w:rsid w:val="007939C0"/>
    <w:rsid w:val="00813BA2"/>
    <w:rsid w:val="008358D6"/>
    <w:rsid w:val="00893C71"/>
    <w:rsid w:val="008A10A2"/>
    <w:rsid w:val="008D590F"/>
    <w:rsid w:val="009D3EC4"/>
    <w:rsid w:val="00A12A32"/>
    <w:rsid w:val="00A869DA"/>
    <w:rsid w:val="00AB34BC"/>
    <w:rsid w:val="00AC080E"/>
    <w:rsid w:val="00BA5839"/>
    <w:rsid w:val="00C54826"/>
    <w:rsid w:val="00C72986"/>
    <w:rsid w:val="00C72CA2"/>
    <w:rsid w:val="00D707A7"/>
    <w:rsid w:val="00D8476E"/>
    <w:rsid w:val="00DA4158"/>
    <w:rsid w:val="00DC4B2E"/>
    <w:rsid w:val="00DF24A0"/>
    <w:rsid w:val="00E05AA5"/>
    <w:rsid w:val="00E25DD3"/>
    <w:rsid w:val="00E51045"/>
    <w:rsid w:val="00EB22B0"/>
    <w:rsid w:val="00ED2075"/>
    <w:rsid w:val="00ED27BA"/>
    <w:rsid w:val="00F00B76"/>
    <w:rsid w:val="00F061F2"/>
    <w:rsid w:val="00F07967"/>
    <w:rsid w:val="00F2022E"/>
    <w:rsid w:val="00F70C58"/>
    <w:rsid w:val="00FC6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C0DB4"/>
  <w15:chartTrackingRefBased/>
  <w15:docId w15:val="{BB196F53-994B-41DA-8907-8493D5B3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66E"/>
    <w:pPr>
      <w:ind w:left="720"/>
      <w:contextualSpacing/>
    </w:pPr>
  </w:style>
  <w:style w:type="paragraph" w:customStyle="1" w:styleId="statutory-body-1em">
    <w:name w:val="statutory-body-1em"/>
    <w:basedOn w:val="Normal"/>
    <w:rsid w:val="000E366E"/>
    <w:pPr>
      <w:spacing w:after="0" w:line="240" w:lineRule="auto"/>
      <w:ind w:left="240" w:firstLine="240"/>
    </w:pPr>
    <w:rPr>
      <w:rFonts w:ascii="Times New Roman" w:eastAsia="Times New Roman" w:hAnsi="Times New Roman" w:cs="Times New Roman"/>
      <w:sz w:val="24"/>
      <w:szCs w:val="24"/>
    </w:rPr>
  </w:style>
  <w:style w:type="paragraph" w:customStyle="1" w:styleId="statutory-body">
    <w:name w:val="statutory-body"/>
    <w:basedOn w:val="Normal"/>
    <w:rsid w:val="000E366E"/>
    <w:pPr>
      <w:spacing w:after="0" w:line="240" w:lineRule="auto"/>
      <w:ind w:firstLine="24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0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C58"/>
    <w:rPr>
      <w:rFonts w:ascii="Segoe UI" w:hAnsi="Segoe UI" w:cs="Segoe UI"/>
      <w:sz w:val="18"/>
      <w:szCs w:val="18"/>
    </w:rPr>
  </w:style>
  <w:style w:type="character" w:styleId="CommentReference">
    <w:name w:val="annotation reference"/>
    <w:basedOn w:val="DefaultParagraphFont"/>
    <w:uiPriority w:val="99"/>
    <w:semiHidden/>
    <w:unhideWhenUsed/>
    <w:rsid w:val="00784F36"/>
    <w:rPr>
      <w:sz w:val="16"/>
      <w:szCs w:val="16"/>
    </w:rPr>
  </w:style>
  <w:style w:type="paragraph" w:styleId="CommentText">
    <w:name w:val="annotation text"/>
    <w:basedOn w:val="Normal"/>
    <w:link w:val="CommentTextChar"/>
    <w:uiPriority w:val="99"/>
    <w:semiHidden/>
    <w:unhideWhenUsed/>
    <w:rsid w:val="00784F36"/>
    <w:pPr>
      <w:spacing w:line="240" w:lineRule="auto"/>
    </w:pPr>
    <w:rPr>
      <w:sz w:val="20"/>
      <w:szCs w:val="20"/>
    </w:rPr>
  </w:style>
  <w:style w:type="character" w:customStyle="1" w:styleId="CommentTextChar">
    <w:name w:val="Comment Text Char"/>
    <w:basedOn w:val="DefaultParagraphFont"/>
    <w:link w:val="CommentText"/>
    <w:uiPriority w:val="99"/>
    <w:semiHidden/>
    <w:rsid w:val="00784F36"/>
    <w:rPr>
      <w:sz w:val="20"/>
      <w:szCs w:val="20"/>
    </w:rPr>
  </w:style>
  <w:style w:type="paragraph" w:styleId="CommentSubject">
    <w:name w:val="annotation subject"/>
    <w:basedOn w:val="CommentText"/>
    <w:next w:val="CommentText"/>
    <w:link w:val="CommentSubjectChar"/>
    <w:uiPriority w:val="99"/>
    <w:semiHidden/>
    <w:unhideWhenUsed/>
    <w:rsid w:val="00784F36"/>
    <w:rPr>
      <w:b/>
      <w:bCs/>
    </w:rPr>
  </w:style>
  <w:style w:type="character" w:customStyle="1" w:styleId="CommentSubjectChar">
    <w:name w:val="Comment Subject Char"/>
    <w:basedOn w:val="CommentTextChar"/>
    <w:link w:val="CommentSubject"/>
    <w:uiPriority w:val="99"/>
    <w:semiHidden/>
    <w:rsid w:val="00784F36"/>
    <w:rPr>
      <w:b/>
      <w:bCs/>
      <w:sz w:val="20"/>
      <w:szCs w:val="20"/>
    </w:rPr>
  </w:style>
  <w:style w:type="paragraph" w:styleId="Header">
    <w:name w:val="header"/>
    <w:basedOn w:val="Normal"/>
    <w:link w:val="HeaderChar"/>
    <w:uiPriority w:val="99"/>
    <w:unhideWhenUsed/>
    <w:rsid w:val="00AC08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80E"/>
  </w:style>
  <w:style w:type="paragraph" w:styleId="Footer">
    <w:name w:val="footer"/>
    <w:basedOn w:val="Normal"/>
    <w:link w:val="FooterChar"/>
    <w:uiPriority w:val="99"/>
    <w:unhideWhenUsed/>
    <w:rsid w:val="00AC08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434777">
      <w:bodyDiv w:val="1"/>
      <w:marLeft w:val="720"/>
      <w:marRight w:val="0"/>
      <w:marTop w:val="0"/>
      <w:marBottom w:val="0"/>
      <w:divBdr>
        <w:top w:val="none" w:sz="0" w:space="0" w:color="auto"/>
        <w:left w:val="none" w:sz="0" w:space="0" w:color="auto"/>
        <w:bottom w:val="none" w:sz="0" w:space="0" w:color="auto"/>
        <w:right w:val="none" w:sz="0" w:space="0" w:color="auto"/>
      </w:divBdr>
      <w:divsChild>
        <w:div w:id="1349260125">
          <w:marLeft w:val="75"/>
          <w:marRight w:val="75"/>
          <w:marTop w:val="75"/>
          <w:marBottom w:val="75"/>
          <w:divBdr>
            <w:top w:val="none" w:sz="0" w:space="0" w:color="auto"/>
            <w:left w:val="none" w:sz="0" w:space="0" w:color="auto"/>
            <w:bottom w:val="none" w:sz="0" w:space="0" w:color="auto"/>
            <w:right w:val="none" w:sz="0" w:space="0" w:color="auto"/>
          </w:divBdr>
          <w:divsChild>
            <w:div w:id="927999458">
              <w:marLeft w:val="0"/>
              <w:marRight w:val="0"/>
              <w:marTop w:val="0"/>
              <w:marBottom w:val="0"/>
              <w:divBdr>
                <w:top w:val="none" w:sz="0" w:space="0" w:color="auto"/>
                <w:left w:val="none" w:sz="0" w:space="0" w:color="auto"/>
                <w:bottom w:val="none" w:sz="0" w:space="0" w:color="auto"/>
                <w:right w:val="none" w:sz="0" w:space="0" w:color="auto"/>
              </w:divBdr>
              <w:divsChild>
                <w:div w:id="26108015">
                  <w:marLeft w:val="0"/>
                  <w:marRight w:val="0"/>
                  <w:marTop w:val="0"/>
                  <w:marBottom w:val="0"/>
                  <w:divBdr>
                    <w:top w:val="none" w:sz="0" w:space="0" w:color="auto"/>
                    <w:left w:val="none" w:sz="0" w:space="0" w:color="auto"/>
                    <w:bottom w:val="none" w:sz="0" w:space="0" w:color="auto"/>
                    <w:right w:val="none" w:sz="0" w:space="0" w:color="auto"/>
                  </w:divBdr>
                  <w:divsChild>
                    <w:div w:id="13032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667"/>
    <w:rsid w:val="003F4901"/>
    <w:rsid w:val="00962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B3505154254CB7B03A505961F2648C">
    <w:name w:val="B9B3505154254CB7B03A505961F2648C"/>
    <w:rsid w:val="009626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3</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DHA</Company>
  <LinksUpToDate>false</LinksUpToDate>
  <CharactersWithSpaces>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Robert L CIV USARMY MEDCOM USAMRMC (US)</dc:creator>
  <cp:keywords/>
  <dc:description/>
  <cp:lastModifiedBy>Charles, Robert L CIV USARMY MEDCOM USAMRMC (US)</cp:lastModifiedBy>
  <cp:revision>29</cp:revision>
  <dcterms:created xsi:type="dcterms:W3CDTF">2018-05-14T13:25:00Z</dcterms:created>
  <dcterms:modified xsi:type="dcterms:W3CDTF">2018-07-16T15:19:00Z</dcterms:modified>
</cp:coreProperties>
</file>